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7E8A4" w14:textId="77777777" w:rsidR="00B97C9A" w:rsidRPr="00B97C9A" w:rsidRDefault="00B97C9A" w:rsidP="00B97C9A"/>
    <w:p w14:paraId="11454358" w14:textId="77777777" w:rsidR="00EB16B5" w:rsidRDefault="00EB16B5" w:rsidP="00251818">
      <w:pPr>
        <w:pStyle w:val="Heading1"/>
      </w:pPr>
    </w:p>
    <w:p w14:paraId="7831850B" w14:textId="77777777" w:rsidR="00F3257D" w:rsidRPr="00251818" w:rsidRDefault="00BF69EB" w:rsidP="00251818">
      <w:pPr>
        <w:pStyle w:val="Heading1"/>
      </w:pPr>
      <w:r w:rsidRPr="00251818">
        <w:t>CRITERION 3</w:t>
      </w:r>
      <w:r w:rsidR="00152226" w:rsidRPr="00251818">
        <w:t xml:space="preserve"> -</w:t>
      </w:r>
      <w:r w:rsidR="00F3257D" w:rsidRPr="00251818">
        <w:t xml:space="preserve"> STUDENT OUTCOMES </w:t>
      </w:r>
    </w:p>
    <w:p w14:paraId="1EC9E1FF" w14:textId="77777777" w:rsidR="00F3257D" w:rsidRPr="00251818" w:rsidRDefault="00F3257D" w:rsidP="00251818">
      <w:pPr>
        <w:rPr>
          <w:rFonts w:eastAsiaTheme="minorHAnsi"/>
          <w:b/>
          <w:bCs/>
          <w:color w:val="000000" w:themeColor="text1"/>
        </w:rPr>
      </w:pPr>
    </w:p>
    <w:p w14:paraId="41EFB5CC" w14:textId="222FB569" w:rsidR="00BF69EB" w:rsidRDefault="00BF69EB" w:rsidP="00251818">
      <w:pPr>
        <w:rPr>
          <w:color w:val="000000" w:themeColor="text1"/>
        </w:rPr>
      </w:pPr>
      <w:r w:rsidRPr="00251818">
        <w:rPr>
          <w:rFonts w:eastAsiaTheme="minorHAnsi"/>
          <w:bCs/>
          <w:color w:val="000000" w:themeColor="text1"/>
        </w:rPr>
        <w:t xml:space="preserve">This chapter describes the process for establishing student outcomes and revising them and the </w:t>
      </w:r>
      <w:r w:rsidRPr="00251818">
        <w:rPr>
          <w:color w:val="000000" w:themeColor="text1"/>
        </w:rPr>
        <w:t>relationship of student outcomes to program educational objectives</w:t>
      </w:r>
      <w:r w:rsidR="00251818">
        <w:rPr>
          <w:color w:val="000000" w:themeColor="text1"/>
        </w:rPr>
        <w:t>.</w:t>
      </w:r>
    </w:p>
    <w:p w14:paraId="1B839675" w14:textId="77777777" w:rsidR="00251818" w:rsidRPr="00251818" w:rsidRDefault="00251818" w:rsidP="00251818">
      <w:pPr>
        <w:rPr>
          <w:rFonts w:eastAsiaTheme="minorHAnsi"/>
          <w:bCs/>
          <w:color w:val="000000" w:themeColor="text1"/>
        </w:rPr>
      </w:pPr>
    </w:p>
    <w:p w14:paraId="241E3BDC" w14:textId="1987AF13" w:rsidR="00600769" w:rsidRPr="00251818" w:rsidRDefault="00600769" w:rsidP="00251818">
      <w:pPr>
        <w:pStyle w:val="Heading2"/>
      </w:pPr>
      <w:r w:rsidRPr="00251818">
        <w:t xml:space="preserve">Process for the </w:t>
      </w:r>
      <w:r w:rsidR="00BF69EB" w:rsidRPr="00251818">
        <w:t>e</w:t>
      </w:r>
      <w:r w:rsidRPr="00251818">
        <w:t xml:space="preserve">stablishment and </w:t>
      </w:r>
      <w:r w:rsidR="00BF69EB" w:rsidRPr="00251818">
        <w:t>r</w:t>
      </w:r>
      <w:r w:rsidRPr="00251818">
        <w:t xml:space="preserve">evision of the </w:t>
      </w:r>
      <w:r w:rsidR="00BF69EB" w:rsidRPr="00251818">
        <w:t>s</w:t>
      </w:r>
      <w:r w:rsidRPr="00251818">
        <w:t xml:space="preserve">tudent </w:t>
      </w:r>
      <w:r w:rsidR="00BF69EB" w:rsidRPr="00251818">
        <w:t>o</w:t>
      </w:r>
      <w:r w:rsidRPr="00251818">
        <w:t>utcomes</w:t>
      </w:r>
    </w:p>
    <w:p w14:paraId="36EB3E37" w14:textId="217B995C" w:rsidR="006A0DF7" w:rsidRPr="00251818" w:rsidRDefault="00600769" w:rsidP="00251818">
      <w:pPr>
        <w:pStyle w:val="ABETInstructions"/>
        <w:spacing w:after="0"/>
        <w:rPr>
          <w:color w:val="auto"/>
          <w:szCs w:val="24"/>
        </w:rPr>
      </w:pPr>
      <w:r w:rsidRPr="00251818">
        <w:rPr>
          <w:color w:val="auto"/>
          <w:szCs w:val="24"/>
        </w:rPr>
        <w:t>Program outcomes were established in 2002.  Initially, the same (a)-(k) outcomes suggested by ABET were selected. Program faculty members attended numerous national assessment conferences and ABET seminars during that period so as to equip themselves with current ideas and best practices.  During this period the initial (a)-(k) had grown to include several additional outcomes.  Some outcomes such as communication were broken into two separate outcomes: oral and written.  However, by the end of 2002, the need for such sepa</w:t>
      </w:r>
      <w:r w:rsidR="006A0DF7" w:rsidRPr="00251818">
        <w:rPr>
          <w:color w:val="auto"/>
          <w:szCs w:val="24"/>
        </w:rPr>
        <w:t xml:space="preserve">rations appeared weak and </w:t>
      </w:r>
      <w:r w:rsidR="00345FFA" w:rsidRPr="00251818">
        <w:rPr>
          <w:color w:val="auto"/>
          <w:szCs w:val="24"/>
        </w:rPr>
        <w:t xml:space="preserve">so </w:t>
      </w:r>
      <w:r w:rsidR="006A0DF7" w:rsidRPr="00251818">
        <w:rPr>
          <w:color w:val="auto"/>
          <w:szCs w:val="24"/>
        </w:rPr>
        <w:t>w</w:t>
      </w:r>
      <w:r w:rsidR="00345FFA" w:rsidRPr="00251818">
        <w:rPr>
          <w:color w:val="auto"/>
          <w:szCs w:val="24"/>
        </w:rPr>
        <w:t>as</w:t>
      </w:r>
      <w:r w:rsidRPr="00251818">
        <w:rPr>
          <w:color w:val="auto"/>
          <w:szCs w:val="24"/>
        </w:rPr>
        <w:t xml:space="preserve"> not adopted.  Suggested new outcomes were also abandoned because they were found to be unrelated to a focused and systematic continuous improvement process.  Consequently, the original (a)-(k) were adopted as the program outcomes.  This selection is reviewed and discussed several </w:t>
      </w:r>
      <w:r w:rsidR="006A0DF7" w:rsidRPr="00251818">
        <w:rPr>
          <w:color w:val="auto"/>
          <w:szCs w:val="24"/>
        </w:rPr>
        <w:t>times a year by program faculty,</w:t>
      </w:r>
      <w:r w:rsidRPr="00251818">
        <w:rPr>
          <w:color w:val="auto"/>
          <w:szCs w:val="24"/>
        </w:rPr>
        <w:t xml:space="preserve"> usually during the periodic outcome reviews.  The same suggestions arise as were proposed in 2002 and are rejected for the same reasons they were rejected then.  </w:t>
      </w:r>
    </w:p>
    <w:p w14:paraId="79BE8EE8" w14:textId="77777777" w:rsidR="006A0DF7" w:rsidRPr="00251818" w:rsidRDefault="006A0DF7" w:rsidP="00251818">
      <w:pPr>
        <w:pStyle w:val="ABETInstructions"/>
        <w:spacing w:after="0"/>
        <w:rPr>
          <w:color w:val="auto"/>
          <w:szCs w:val="24"/>
        </w:rPr>
      </w:pPr>
    </w:p>
    <w:p w14:paraId="1E7D4CB3" w14:textId="34A86536" w:rsidR="00600769" w:rsidRPr="00251818" w:rsidRDefault="00600769" w:rsidP="00251818">
      <w:pPr>
        <w:pStyle w:val="ABETInstructions"/>
        <w:spacing w:after="0"/>
        <w:rPr>
          <w:color w:val="auto"/>
          <w:szCs w:val="24"/>
        </w:rPr>
      </w:pPr>
      <w:r w:rsidRPr="00251818">
        <w:rPr>
          <w:color w:val="auto"/>
          <w:szCs w:val="24"/>
        </w:rPr>
        <w:t xml:space="preserve">Program faculty members remain vigilant through ABET seminars and by serving as continuous improvement consultants for new technical and societal trends that may need to be addressed by additional outcomes; however, none has risen to the level of importance warranting adoption.  </w:t>
      </w:r>
      <w:r w:rsidR="00BF69EB" w:rsidRPr="00251818">
        <w:rPr>
          <w:color w:val="auto"/>
          <w:szCs w:val="24"/>
        </w:rPr>
        <w:t xml:space="preserve">The program faculty members have always supported student’s addressing economic, ethical, societal context, environmental, and safety issues but have embedded these into the design component of the current outcomes.  These matters are now addressed in the revised </w:t>
      </w:r>
      <w:r w:rsidR="00251818">
        <w:rPr>
          <w:color w:val="auto"/>
          <w:szCs w:val="24"/>
        </w:rPr>
        <w:t>(</w:t>
      </w:r>
      <w:r w:rsidR="00BF69EB" w:rsidRPr="00251818">
        <w:rPr>
          <w:color w:val="auto"/>
          <w:szCs w:val="24"/>
        </w:rPr>
        <w:t>1</w:t>
      </w:r>
      <w:r w:rsidR="00EC046E" w:rsidRPr="00251818">
        <w:rPr>
          <w:color w:val="auto"/>
          <w:szCs w:val="24"/>
        </w:rPr>
        <w:t xml:space="preserve">) </w:t>
      </w:r>
      <w:proofErr w:type="gramStart"/>
      <w:r w:rsidR="00251818">
        <w:rPr>
          <w:color w:val="auto"/>
          <w:szCs w:val="24"/>
        </w:rPr>
        <w:t>–(</w:t>
      </w:r>
      <w:proofErr w:type="gramEnd"/>
      <w:r w:rsidR="00BF69EB" w:rsidRPr="00251818">
        <w:rPr>
          <w:color w:val="auto"/>
          <w:szCs w:val="24"/>
        </w:rPr>
        <w:t>7</w:t>
      </w:r>
      <w:r w:rsidR="00EC046E" w:rsidRPr="00251818">
        <w:rPr>
          <w:color w:val="auto"/>
          <w:szCs w:val="24"/>
        </w:rPr>
        <w:t>)</w:t>
      </w:r>
      <w:r w:rsidR="00BF69EB" w:rsidRPr="00251818">
        <w:rPr>
          <w:color w:val="auto"/>
          <w:szCs w:val="24"/>
        </w:rPr>
        <w:t xml:space="preserve"> outcomes being proposed by ABET.  This more formal collection of </w:t>
      </w:r>
      <w:r w:rsidR="00EC046E" w:rsidRPr="00251818">
        <w:rPr>
          <w:color w:val="auto"/>
          <w:szCs w:val="24"/>
        </w:rPr>
        <w:t>these topics is certainly agreeable to the program faculty members since it closely aligns with their practice and thinking.</w:t>
      </w:r>
    </w:p>
    <w:p w14:paraId="47F43097" w14:textId="77777777" w:rsidR="00600769" w:rsidRPr="00251818" w:rsidRDefault="00600769" w:rsidP="00251818"/>
    <w:p w14:paraId="7DF8E838" w14:textId="35FBDDC0" w:rsidR="00600769" w:rsidRPr="00251818" w:rsidRDefault="00600769" w:rsidP="00251818">
      <w:r w:rsidRPr="00251818">
        <w:t xml:space="preserve">Since 2002, the outcomes have been reviewed many times by the program faculty and the Metallurgical Engineering Advisor Board.  Both the faculty and the board have ruled that the outcomes are appropriate and adequate within the requirements established by ABET.  Now that ABET </w:t>
      </w:r>
      <w:r w:rsidR="00EC046E" w:rsidRPr="00251818">
        <w:t>proposes to change</w:t>
      </w:r>
      <w:r w:rsidRPr="00251818">
        <w:t xml:space="preserve"> the </w:t>
      </w:r>
      <w:r w:rsidR="00345FFA" w:rsidRPr="00251818">
        <w:t>(</w:t>
      </w:r>
      <w:r w:rsidRPr="00251818">
        <w:t xml:space="preserve">a) </w:t>
      </w:r>
      <w:r w:rsidR="00345FFA" w:rsidRPr="00251818">
        <w:t>–</w:t>
      </w:r>
      <w:r w:rsidR="00EC046E" w:rsidRPr="00251818">
        <w:t xml:space="preserve"> </w:t>
      </w:r>
      <w:r w:rsidR="00345FFA" w:rsidRPr="00251818">
        <w:t>(</w:t>
      </w:r>
      <w:r w:rsidRPr="00251818">
        <w:t xml:space="preserve">k) requirements in a way that combines the elements of some of the </w:t>
      </w:r>
      <w:r w:rsidR="00345FFA" w:rsidRPr="00251818">
        <w:t>(</w:t>
      </w:r>
      <w:r w:rsidRPr="00251818">
        <w:t xml:space="preserve">a) – </w:t>
      </w:r>
      <w:r w:rsidR="00345FFA" w:rsidRPr="00251818">
        <w:t>(</w:t>
      </w:r>
      <w:r w:rsidRPr="00251818">
        <w:t xml:space="preserve">k) into new outcomes </w:t>
      </w:r>
      <w:r w:rsidR="00345FFA" w:rsidRPr="00251818">
        <w:t>(</w:t>
      </w:r>
      <w:r w:rsidRPr="00251818">
        <w:t xml:space="preserve">1) – </w:t>
      </w:r>
      <w:r w:rsidR="00345FFA" w:rsidRPr="00251818">
        <w:t>(</w:t>
      </w:r>
      <w:r w:rsidRPr="00251818">
        <w:t xml:space="preserve">7), the program faculty and the Advisory Board recommend adoption of that structural change and further have found at the March 2016 meeting that the </w:t>
      </w:r>
      <w:r w:rsidR="00345FFA" w:rsidRPr="00251818">
        <w:t>(</w:t>
      </w:r>
      <w:r w:rsidRPr="00251818">
        <w:t xml:space="preserve">1) – </w:t>
      </w:r>
      <w:r w:rsidR="00345FFA" w:rsidRPr="00251818">
        <w:t>(</w:t>
      </w:r>
      <w:r w:rsidRPr="00251818">
        <w:t>7) as proposed by ABET are adequate and appropriate.  However, the current rev</w:t>
      </w:r>
      <w:r w:rsidR="00EC046E" w:rsidRPr="00251818">
        <w:t>iew is entirely based on the</w:t>
      </w:r>
      <w:r w:rsidRPr="00251818">
        <w:t xml:space="preserve"> </w:t>
      </w:r>
      <w:r w:rsidR="00345FFA" w:rsidRPr="00251818">
        <w:t>(</w:t>
      </w:r>
      <w:r w:rsidRPr="00251818">
        <w:t xml:space="preserve">a) – </w:t>
      </w:r>
      <w:r w:rsidR="00345FFA" w:rsidRPr="00251818">
        <w:t>(</w:t>
      </w:r>
      <w:r w:rsidRPr="00251818">
        <w:t>k) outcomes.</w:t>
      </w:r>
    </w:p>
    <w:p w14:paraId="0631F8E4" w14:textId="77777777" w:rsidR="00251818" w:rsidRDefault="00251818" w:rsidP="00251818">
      <w:pPr>
        <w:rPr>
          <w:b/>
          <w:bCs/>
          <w:iCs/>
          <w:color w:val="000000" w:themeColor="text1"/>
        </w:rPr>
      </w:pPr>
    </w:p>
    <w:p w14:paraId="50F1A49A" w14:textId="5626DE33" w:rsidR="00F3257D" w:rsidRPr="00251818" w:rsidRDefault="00F3257D" w:rsidP="00251818">
      <w:pPr>
        <w:pStyle w:val="Heading2"/>
      </w:pPr>
      <w:r w:rsidRPr="00251818">
        <w:t xml:space="preserve">Student </w:t>
      </w:r>
      <w:r w:rsidR="00BF69EB" w:rsidRPr="00251818">
        <w:t>o</w:t>
      </w:r>
      <w:r w:rsidRPr="00251818">
        <w:t>utcomes</w:t>
      </w:r>
    </w:p>
    <w:p w14:paraId="61449650" w14:textId="12178395" w:rsidR="00FB0D02" w:rsidRPr="00251818" w:rsidRDefault="00FB0D02" w:rsidP="00251818">
      <w:pPr>
        <w:autoSpaceDE w:val="0"/>
        <w:autoSpaceDN w:val="0"/>
        <w:adjustRightInd w:val="0"/>
        <w:rPr>
          <w:color w:val="000000" w:themeColor="text1"/>
        </w:rPr>
      </w:pPr>
      <w:r w:rsidRPr="00251818">
        <w:rPr>
          <w:color w:val="000000" w:themeColor="text1"/>
        </w:rPr>
        <w:t xml:space="preserve">The Outcomes for the </w:t>
      </w:r>
      <w:r w:rsidR="00851A60">
        <w:rPr>
          <w:color w:val="000000" w:themeColor="text1"/>
        </w:rPr>
        <w:t xml:space="preserve">BS </w:t>
      </w:r>
      <w:r w:rsidRPr="00251818">
        <w:rPr>
          <w:color w:val="000000" w:themeColor="text1"/>
        </w:rPr>
        <w:t xml:space="preserve">Metallurgical Engineering Program correspond to the criteria for accrediting engineering programs during the 2010 to 2015 accreditation cycle so no additional mapping is needed.  These outcomes are </w:t>
      </w:r>
      <w:r w:rsidR="00251818">
        <w:rPr>
          <w:color w:val="000000" w:themeColor="text1"/>
        </w:rPr>
        <w:t>shown in Table 3-</w:t>
      </w:r>
      <w:r w:rsidR="004D7A42" w:rsidRPr="00251818">
        <w:rPr>
          <w:color w:val="000000" w:themeColor="text1"/>
        </w:rPr>
        <w:t>1.</w:t>
      </w:r>
    </w:p>
    <w:p w14:paraId="1F476A42" w14:textId="77777777" w:rsidR="008A45CC" w:rsidRPr="00251818" w:rsidRDefault="008A45CC" w:rsidP="00251818">
      <w:pPr>
        <w:autoSpaceDE w:val="0"/>
        <w:autoSpaceDN w:val="0"/>
        <w:adjustRightInd w:val="0"/>
        <w:rPr>
          <w:color w:val="000000" w:themeColor="text1"/>
        </w:rPr>
      </w:pPr>
    </w:p>
    <w:p w14:paraId="11C42EBC" w14:textId="77777777" w:rsidR="008A45CC" w:rsidRPr="00251818" w:rsidRDefault="008A45CC" w:rsidP="00251818">
      <w:pPr>
        <w:pStyle w:val="ABETsmalllettertab"/>
        <w:tabs>
          <w:tab w:val="clear" w:pos="360"/>
        </w:tabs>
        <w:rPr>
          <w:color w:val="000000" w:themeColor="text1"/>
          <w:sz w:val="24"/>
        </w:rPr>
      </w:pPr>
      <w:r w:rsidRPr="00251818">
        <w:rPr>
          <w:color w:val="000000" w:themeColor="text1"/>
          <w:sz w:val="24"/>
        </w:rPr>
        <w:t xml:space="preserve">All program continuous improvement system (CIS) program documents are posted on the program CIS website: </w:t>
      </w:r>
      <w:hyperlink r:id="rId9" w:history="1">
        <w:r w:rsidRPr="00251818">
          <w:rPr>
            <w:rStyle w:val="Hyperlink"/>
            <w:color w:val="000000" w:themeColor="text1"/>
            <w:sz w:val="24"/>
          </w:rPr>
          <w:t>www.ABETMetEng.org/SD</w:t>
        </w:r>
      </w:hyperlink>
      <w:r w:rsidRPr="00251818">
        <w:rPr>
          <w:color w:val="000000" w:themeColor="text1"/>
          <w:sz w:val="24"/>
        </w:rPr>
        <w:t xml:space="preserve"> .  This website reflects all of the program CIS documents, which reside on and are backed up on program computers.  The website provides for selective controlled-user access.  All program faculty members have complete download access </w:t>
      </w:r>
      <w:r w:rsidRPr="00251818">
        <w:rPr>
          <w:color w:val="000000" w:themeColor="text1"/>
          <w:sz w:val="24"/>
        </w:rPr>
        <w:lastRenderedPageBreak/>
        <w:t xml:space="preserve">to all CIS documents.  The introduction of new documents to the CIS is controlled by the program designated CIS officer.  </w:t>
      </w:r>
    </w:p>
    <w:p w14:paraId="2E41A416" w14:textId="77777777" w:rsidR="008A45CC" w:rsidRPr="00251818" w:rsidRDefault="008A45CC" w:rsidP="00251818">
      <w:pPr>
        <w:rPr>
          <w:color w:val="000000" w:themeColor="text1"/>
        </w:rPr>
      </w:pPr>
    </w:p>
    <w:p w14:paraId="2740A5E7" w14:textId="77777777" w:rsidR="008A45CC" w:rsidRPr="00251818" w:rsidRDefault="008A45CC" w:rsidP="00251818">
      <w:pPr>
        <w:autoSpaceDE w:val="0"/>
        <w:autoSpaceDN w:val="0"/>
        <w:adjustRightInd w:val="0"/>
        <w:rPr>
          <w:color w:val="000000" w:themeColor="text1"/>
        </w:rPr>
      </w:pPr>
    </w:p>
    <w:p w14:paraId="76295473" w14:textId="0E29346C" w:rsidR="004D7A42" w:rsidRPr="00251818" w:rsidRDefault="00251818" w:rsidP="00251818">
      <w:pPr>
        <w:pStyle w:val="ABETsmalllettertab"/>
        <w:keepNext/>
        <w:keepLines/>
        <w:pBdr>
          <w:bottom w:val="single" w:sz="4" w:space="1" w:color="auto"/>
        </w:pBdr>
        <w:tabs>
          <w:tab w:val="clear" w:pos="360"/>
        </w:tabs>
        <w:ind w:left="360"/>
        <w:rPr>
          <w:color w:val="000000" w:themeColor="text1"/>
          <w:sz w:val="24"/>
        </w:rPr>
      </w:pPr>
      <w:r>
        <w:rPr>
          <w:color w:val="000000" w:themeColor="text1"/>
          <w:sz w:val="24"/>
        </w:rPr>
        <w:t>Table 3-</w:t>
      </w:r>
      <w:r w:rsidR="004D7A42" w:rsidRPr="00251818">
        <w:rPr>
          <w:color w:val="000000" w:themeColor="text1"/>
          <w:sz w:val="24"/>
        </w:rPr>
        <w:t>1 Student Outcomes</w:t>
      </w:r>
    </w:p>
    <w:p w14:paraId="68F9FE93" w14:textId="77777777" w:rsidR="00EB16B5" w:rsidRPr="00352FAC" w:rsidRDefault="00EB16B5" w:rsidP="00EB16B5">
      <w:pPr>
        <w:pStyle w:val="ListParagraph"/>
        <w:numPr>
          <w:ilvl w:val="0"/>
          <w:numId w:val="39"/>
        </w:numPr>
        <w:tabs>
          <w:tab w:val="left" w:pos="720"/>
        </w:tabs>
      </w:pPr>
      <w:r w:rsidRPr="00352FAC">
        <w:t>Apply knowledge of mathematics, science, and engineering</w:t>
      </w:r>
    </w:p>
    <w:p w14:paraId="59A82DAF" w14:textId="7C63358C" w:rsidR="00EB16B5" w:rsidRPr="00352FAC" w:rsidRDefault="00EB16B5" w:rsidP="00EB16B5">
      <w:pPr>
        <w:pStyle w:val="ListParagraph"/>
        <w:numPr>
          <w:ilvl w:val="0"/>
          <w:numId w:val="39"/>
        </w:numPr>
        <w:tabs>
          <w:tab w:val="left" w:pos="720"/>
        </w:tabs>
      </w:pPr>
      <w:r w:rsidRPr="00352FAC">
        <w:t>Design and conduct experiments</w:t>
      </w:r>
      <w:r w:rsidR="005E1525">
        <w:t xml:space="preserve"> and</w:t>
      </w:r>
      <w:r w:rsidRPr="00352FAC">
        <w:t xml:space="preserve"> analyze and interpret data</w:t>
      </w:r>
    </w:p>
    <w:p w14:paraId="7DA6CDF2" w14:textId="77777777" w:rsidR="00A674BF" w:rsidRPr="00352FAC" w:rsidRDefault="00A674BF" w:rsidP="00A674BF">
      <w:pPr>
        <w:pStyle w:val="ListParagraph"/>
        <w:numPr>
          <w:ilvl w:val="0"/>
          <w:numId w:val="39"/>
        </w:numPr>
        <w:tabs>
          <w:tab w:val="left" w:pos="720"/>
        </w:tabs>
      </w:pPr>
      <w:r w:rsidRPr="00352FAC">
        <w:t xml:space="preserve">Design a system, component, or process </w:t>
      </w:r>
      <w:r>
        <w:t>with</w:t>
      </w:r>
      <w:r w:rsidRPr="00352FAC">
        <w:t xml:space="preserve"> realistic economic, environmental, social, political, ethical, health and safety, manufacturability, and sustainability</w:t>
      </w:r>
      <w:r>
        <w:t xml:space="preserve"> constraints</w:t>
      </w:r>
    </w:p>
    <w:p w14:paraId="68BDB526" w14:textId="77777777" w:rsidR="00EB16B5" w:rsidRPr="00352FAC" w:rsidRDefault="00EB16B5" w:rsidP="00EB16B5">
      <w:pPr>
        <w:pStyle w:val="ListParagraph"/>
        <w:numPr>
          <w:ilvl w:val="0"/>
          <w:numId w:val="39"/>
        </w:numPr>
        <w:tabs>
          <w:tab w:val="left" w:pos="720"/>
        </w:tabs>
      </w:pPr>
      <w:r w:rsidRPr="00352FAC">
        <w:t>Function on multidisciplinary teams</w:t>
      </w:r>
    </w:p>
    <w:p w14:paraId="50DB6140" w14:textId="77777777" w:rsidR="00EB16B5" w:rsidRPr="00352FAC" w:rsidRDefault="00EB16B5" w:rsidP="00EB16B5">
      <w:pPr>
        <w:pStyle w:val="ListParagraph"/>
        <w:numPr>
          <w:ilvl w:val="0"/>
          <w:numId w:val="39"/>
        </w:numPr>
        <w:tabs>
          <w:tab w:val="left" w:pos="720"/>
        </w:tabs>
      </w:pPr>
      <w:r w:rsidRPr="00352FAC">
        <w:t>Identify, formulate, and solve engineering problems</w:t>
      </w:r>
    </w:p>
    <w:p w14:paraId="0B2EA40D" w14:textId="5316F9BE" w:rsidR="00EB16B5" w:rsidRPr="00352FAC" w:rsidRDefault="00E860F1" w:rsidP="00EB16B5">
      <w:pPr>
        <w:pStyle w:val="ListParagraph"/>
        <w:numPr>
          <w:ilvl w:val="0"/>
          <w:numId w:val="39"/>
        </w:numPr>
        <w:tabs>
          <w:tab w:val="left" w:pos="720"/>
        </w:tabs>
      </w:pPr>
      <w:r>
        <w:t xml:space="preserve">Know </w:t>
      </w:r>
      <w:r w:rsidR="00EB16B5" w:rsidRPr="00352FAC">
        <w:t>professional and ethical responsibility</w:t>
      </w:r>
    </w:p>
    <w:p w14:paraId="17584B5C" w14:textId="77777777" w:rsidR="00EB16B5" w:rsidRPr="00352FAC" w:rsidRDefault="00EB16B5" w:rsidP="00EB16B5">
      <w:pPr>
        <w:pStyle w:val="ListParagraph"/>
        <w:numPr>
          <w:ilvl w:val="0"/>
          <w:numId w:val="39"/>
        </w:numPr>
        <w:tabs>
          <w:tab w:val="left" w:pos="720"/>
        </w:tabs>
      </w:pPr>
      <w:r w:rsidRPr="00352FAC">
        <w:t>Communicate effectively</w:t>
      </w:r>
    </w:p>
    <w:p w14:paraId="061DA470" w14:textId="5F461B8B" w:rsidR="00A674BF" w:rsidRPr="00352FAC" w:rsidRDefault="00A674BF" w:rsidP="00A674BF">
      <w:pPr>
        <w:pStyle w:val="ListParagraph"/>
        <w:numPr>
          <w:ilvl w:val="0"/>
          <w:numId w:val="39"/>
        </w:numPr>
        <w:tabs>
          <w:tab w:val="left" w:pos="720"/>
        </w:tabs>
      </w:pPr>
      <w:r w:rsidRPr="00352FAC">
        <w:t xml:space="preserve">Know the impact of engineering </w:t>
      </w:r>
      <w:r>
        <w:t>on</w:t>
      </w:r>
      <w:r w:rsidRPr="00352FAC">
        <w:t xml:space="preserve"> global, economic, environmental, and societal </w:t>
      </w:r>
      <w:r>
        <w:t>issues</w:t>
      </w:r>
    </w:p>
    <w:p w14:paraId="5D1B9EE1" w14:textId="77777777" w:rsidR="00EB16B5" w:rsidRPr="00352FAC" w:rsidRDefault="00EB16B5" w:rsidP="00EB16B5">
      <w:pPr>
        <w:pStyle w:val="ListParagraph"/>
        <w:numPr>
          <w:ilvl w:val="0"/>
          <w:numId w:val="39"/>
        </w:numPr>
        <w:tabs>
          <w:tab w:val="left" w:pos="720"/>
        </w:tabs>
      </w:pPr>
      <w:r w:rsidRPr="00352FAC">
        <w:t>Recognize the need for life-long learning</w:t>
      </w:r>
    </w:p>
    <w:p w14:paraId="07AAF509" w14:textId="0D6AEBC6" w:rsidR="00EB16B5" w:rsidRPr="00352FAC" w:rsidRDefault="00DB2720" w:rsidP="00EB16B5">
      <w:pPr>
        <w:pStyle w:val="ListParagraph"/>
        <w:numPr>
          <w:ilvl w:val="0"/>
          <w:numId w:val="39"/>
        </w:numPr>
        <w:tabs>
          <w:tab w:val="left" w:pos="720"/>
        </w:tabs>
      </w:pPr>
      <w:r>
        <w:t>Know</w:t>
      </w:r>
      <w:r w:rsidR="00EB16B5" w:rsidRPr="00352FAC">
        <w:t xml:space="preserve"> contemporary issues</w:t>
      </w:r>
    </w:p>
    <w:p w14:paraId="20A24D1C" w14:textId="38C5228B" w:rsidR="00A674BF" w:rsidRPr="00A674BF" w:rsidRDefault="00EB16B5" w:rsidP="00251818">
      <w:pPr>
        <w:pStyle w:val="ListParagraph"/>
        <w:numPr>
          <w:ilvl w:val="0"/>
          <w:numId w:val="39"/>
        </w:numPr>
        <w:tabs>
          <w:tab w:val="left" w:pos="720"/>
        </w:tabs>
      </w:pPr>
      <w:r w:rsidRPr="00352FAC">
        <w:t>Use the techniques, skills, and modern engineering tools necessary for engineering practice.</w:t>
      </w:r>
    </w:p>
    <w:p w14:paraId="0E9FB357" w14:textId="77777777" w:rsidR="00A674BF" w:rsidRPr="00251818" w:rsidRDefault="00A674BF" w:rsidP="00251818">
      <w:pPr>
        <w:pStyle w:val="ABETsmalllettertab"/>
        <w:tabs>
          <w:tab w:val="clear" w:pos="360"/>
        </w:tabs>
        <w:rPr>
          <w:color w:val="000000" w:themeColor="text1"/>
          <w:sz w:val="24"/>
        </w:rPr>
      </w:pPr>
    </w:p>
    <w:p w14:paraId="7F1837CA" w14:textId="45E20705" w:rsidR="00FB0D02" w:rsidRPr="00251818" w:rsidRDefault="00FB0D02" w:rsidP="00251818">
      <w:pPr>
        <w:rPr>
          <w:color w:val="000000" w:themeColor="text1"/>
        </w:rPr>
      </w:pPr>
      <w:r w:rsidRPr="00251818">
        <w:rPr>
          <w:color w:val="000000" w:themeColor="text1"/>
        </w:rPr>
        <w:t xml:space="preserve">In addition to the </w:t>
      </w:r>
      <w:r w:rsidR="00345FFA" w:rsidRPr="00251818">
        <w:rPr>
          <w:color w:val="000000" w:themeColor="text1"/>
        </w:rPr>
        <w:t>(</w:t>
      </w:r>
      <w:r w:rsidRPr="00251818">
        <w:rPr>
          <w:color w:val="000000" w:themeColor="text1"/>
        </w:rPr>
        <w:t xml:space="preserve">a) – </w:t>
      </w:r>
      <w:r w:rsidR="00345FFA" w:rsidRPr="00251818">
        <w:rPr>
          <w:color w:val="000000" w:themeColor="text1"/>
        </w:rPr>
        <w:t>(</w:t>
      </w:r>
      <w:r w:rsidRPr="00251818">
        <w:rPr>
          <w:color w:val="000000" w:themeColor="text1"/>
        </w:rPr>
        <w:t>k) outcomes, the university has general education outcomes and measures of achieving their satisfaction.  These measures have been improving over the last few years and are now at a point where the program plans to include them in them in the CIS beginnin</w:t>
      </w:r>
      <w:r w:rsidR="00EC046E" w:rsidRPr="00251818">
        <w:rPr>
          <w:color w:val="000000" w:themeColor="text1"/>
        </w:rPr>
        <w:t xml:space="preserve">g in 2016.  </w:t>
      </w:r>
      <w:r w:rsidRPr="00251818">
        <w:rPr>
          <w:color w:val="000000" w:themeColor="text1"/>
        </w:rPr>
        <w:t>The BS Metallurgical Engineering Program assesses on a calendar year basis; consequently, no reference is mad</w:t>
      </w:r>
      <w:r w:rsidR="00EC046E" w:rsidRPr="00251818">
        <w:rPr>
          <w:color w:val="000000" w:themeColor="text1"/>
        </w:rPr>
        <w:t>e to hyphenated academic years.</w:t>
      </w:r>
      <w:r w:rsidRPr="00251818">
        <w:rPr>
          <w:color w:val="000000" w:themeColor="text1"/>
        </w:rPr>
        <w:t xml:space="preserve">  The results of those measurements are included here to provide a view of the planned inclusion.</w:t>
      </w:r>
    </w:p>
    <w:p w14:paraId="5F21442E" w14:textId="77777777" w:rsidR="00B44E1F" w:rsidRPr="00251818" w:rsidRDefault="00B44E1F" w:rsidP="00251818">
      <w:pPr>
        <w:rPr>
          <w:color w:val="000000" w:themeColor="text1"/>
        </w:rPr>
      </w:pPr>
    </w:p>
    <w:p w14:paraId="1A418609" w14:textId="77777777" w:rsidR="00B44E1F" w:rsidRPr="00251818" w:rsidRDefault="00EC046E" w:rsidP="00251818">
      <w:pPr>
        <w:rPr>
          <w:color w:val="000000" w:themeColor="text1"/>
        </w:rPr>
      </w:pPr>
      <w:r w:rsidRPr="00251818">
        <w:rPr>
          <w:color w:val="000000" w:themeColor="text1"/>
        </w:rPr>
        <w:t>Student outcomes are posted on the department bulletin board located outside MI 114.</w:t>
      </w:r>
    </w:p>
    <w:p w14:paraId="5EBFBB45" w14:textId="77777777" w:rsidR="00E752DA" w:rsidRPr="00251818" w:rsidRDefault="00E752DA" w:rsidP="00251818"/>
    <w:p w14:paraId="7C802226" w14:textId="77777777" w:rsidR="00B44E1F" w:rsidRPr="00251818" w:rsidRDefault="00B44E1F" w:rsidP="00251818">
      <w:pPr>
        <w:pStyle w:val="Heading2"/>
      </w:pPr>
      <w:r w:rsidRPr="00251818">
        <w:t xml:space="preserve">Relationship of </w:t>
      </w:r>
      <w:r w:rsidR="00BF69EB" w:rsidRPr="00251818">
        <w:t>s</w:t>
      </w:r>
      <w:r w:rsidRPr="00251818">
        <w:t xml:space="preserve">tudent </w:t>
      </w:r>
      <w:r w:rsidR="00BF69EB" w:rsidRPr="00251818">
        <w:t>o</w:t>
      </w:r>
      <w:r w:rsidRPr="00251818">
        <w:t xml:space="preserve">utcomes to </w:t>
      </w:r>
      <w:r w:rsidR="00BF69EB" w:rsidRPr="00251818">
        <w:t>p</w:t>
      </w:r>
      <w:r w:rsidRPr="00251818">
        <w:t xml:space="preserve">rogram </w:t>
      </w:r>
      <w:r w:rsidR="00BF69EB" w:rsidRPr="00251818">
        <w:t>e</w:t>
      </w:r>
      <w:r w:rsidRPr="00251818">
        <w:t xml:space="preserve">ducational </w:t>
      </w:r>
      <w:r w:rsidR="00BF69EB" w:rsidRPr="00251818">
        <w:t>o</w:t>
      </w:r>
      <w:r w:rsidRPr="00251818">
        <w:t>bjectives</w:t>
      </w:r>
    </w:p>
    <w:p w14:paraId="5AAB1512" w14:textId="058BAEDA" w:rsidR="00B44E1F" w:rsidRPr="00251818" w:rsidRDefault="00B44E1F" w:rsidP="00251818">
      <w:pPr>
        <w:pStyle w:val="ABETBody"/>
        <w:rPr>
          <w:sz w:val="24"/>
          <w:szCs w:val="24"/>
        </w:rPr>
      </w:pPr>
      <w:r w:rsidRPr="00251818">
        <w:rPr>
          <w:sz w:val="24"/>
          <w:szCs w:val="24"/>
        </w:rPr>
        <w:t>Table 3-</w:t>
      </w:r>
      <w:r w:rsidR="00251818">
        <w:rPr>
          <w:sz w:val="24"/>
          <w:szCs w:val="24"/>
        </w:rPr>
        <w:t>2</w:t>
      </w:r>
      <w:r w:rsidRPr="00251818">
        <w:rPr>
          <w:sz w:val="24"/>
          <w:szCs w:val="24"/>
        </w:rPr>
        <w:t xml:space="preserve"> shows the relationship of the metallurgical engineering program objectives to the program outcomes.   </w:t>
      </w:r>
    </w:p>
    <w:p w14:paraId="6CC48136" w14:textId="77777777" w:rsidR="00775C9A" w:rsidRDefault="00775C9A" w:rsidP="00251818">
      <w:pPr>
        <w:pStyle w:val="ABETBody"/>
        <w:rPr>
          <w:sz w:val="24"/>
          <w:szCs w:val="24"/>
        </w:rPr>
      </w:pPr>
    </w:p>
    <w:p w14:paraId="09EB23CC" w14:textId="77777777" w:rsidR="00EB16B5" w:rsidRPr="00251818" w:rsidRDefault="00EB16B5" w:rsidP="00251818">
      <w:pPr>
        <w:pStyle w:val="ABETBody"/>
        <w:rPr>
          <w:sz w:val="24"/>
          <w:szCs w:val="24"/>
        </w:rPr>
      </w:pPr>
    </w:p>
    <w:tbl>
      <w:tblPr>
        <w:tblW w:w="0" w:type="auto"/>
        <w:tblInd w:w="144" w:type="dxa"/>
        <w:tblLayout w:type="fixed"/>
        <w:tblLook w:val="0000" w:firstRow="0" w:lastRow="0" w:firstColumn="0" w:lastColumn="0" w:noHBand="0" w:noVBand="0"/>
      </w:tblPr>
      <w:tblGrid>
        <w:gridCol w:w="1728"/>
        <w:gridCol w:w="668"/>
        <w:gridCol w:w="646"/>
        <w:gridCol w:w="646"/>
        <w:gridCol w:w="646"/>
        <w:gridCol w:w="646"/>
        <w:gridCol w:w="646"/>
        <w:gridCol w:w="646"/>
        <w:gridCol w:w="646"/>
        <w:gridCol w:w="646"/>
        <w:gridCol w:w="646"/>
        <w:gridCol w:w="628"/>
        <w:gridCol w:w="18"/>
      </w:tblGrid>
      <w:tr w:rsidR="00B44E1F" w:rsidRPr="00251818" w14:paraId="2AC8DE30" w14:textId="77777777" w:rsidTr="00E50AF6">
        <w:trPr>
          <w:gridAfter w:val="1"/>
          <w:wAfter w:w="18" w:type="dxa"/>
        </w:trPr>
        <w:tc>
          <w:tcPr>
            <w:tcW w:w="8838" w:type="dxa"/>
            <w:gridSpan w:val="12"/>
            <w:tcBorders>
              <w:bottom w:val="single" w:sz="4" w:space="0" w:color="auto"/>
            </w:tcBorders>
          </w:tcPr>
          <w:p w14:paraId="4B1975CC" w14:textId="337777DE" w:rsidR="00F10641" w:rsidRPr="00251818" w:rsidRDefault="00B44E1F" w:rsidP="00251818">
            <w:pPr>
              <w:ind w:left="1206" w:hanging="1206"/>
              <w:rPr>
                <w:color w:val="000000"/>
              </w:rPr>
            </w:pPr>
            <w:r w:rsidRPr="00251818">
              <w:rPr>
                <w:color w:val="000000"/>
              </w:rPr>
              <w:t>Table 3-</w:t>
            </w:r>
            <w:r w:rsidR="00251818" w:rsidRPr="00251818">
              <w:rPr>
                <w:color w:val="000000"/>
              </w:rPr>
              <w:t>2</w:t>
            </w:r>
            <w:r w:rsidR="004331D7">
              <w:rPr>
                <w:color w:val="000000"/>
              </w:rPr>
              <w:t xml:space="preserve"> </w:t>
            </w:r>
            <w:r w:rsidR="00345FFA" w:rsidRPr="00251818">
              <w:rPr>
                <w:color w:val="000000"/>
              </w:rPr>
              <w:t>The relationship between metallurgical e</w:t>
            </w:r>
            <w:r w:rsidRPr="00251818">
              <w:rPr>
                <w:color w:val="000000"/>
              </w:rPr>
              <w:t>ng</w:t>
            </w:r>
            <w:r w:rsidR="00F10641" w:rsidRPr="00251818">
              <w:rPr>
                <w:color w:val="000000"/>
              </w:rPr>
              <w:t xml:space="preserve">ineering program objectives and </w:t>
            </w:r>
            <w:r w:rsidR="004347E3" w:rsidRPr="00251818">
              <w:rPr>
                <w:color w:val="000000"/>
              </w:rPr>
              <w:t>program outcomes</w:t>
            </w:r>
          </w:p>
        </w:tc>
      </w:tr>
      <w:tr w:rsidR="00B44E1F" w:rsidRPr="00F10641" w14:paraId="41FB91BA" w14:textId="77777777" w:rsidTr="00E50AF6">
        <w:trPr>
          <w:trHeight w:val="575"/>
        </w:trPr>
        <w:tc>
          <w:tcPr>
            <w:tcW w:w="1728" w:type="dxa"/>
            <w:tcBorders>
              <w:top w:val="single" w:sz="4" w:space="0" w:color="auto"/>
              <w:left w:val="single" w:sz="4" w:space="0" w:color="auto"/>
              <w:bottom w:val="single" w:sz="6" w:space="0" w:color="auto"/>
              <w:right w:val="single" w:sz="6" w:space="0" w:color="auto"/>
              <w:tl2br w:val="single" w:sz="6" w:space="0" w:color="auto"/>
            </w:tcBorders>
          </w:tcPr>
          <w:p w14:paraId="7700B16C" w14:textId="77777777" w:rsidR="00B44E1F" w:rsidRPr="00F10641" w:rsidRDefault="00B44E1F" w:rsidP="00F10641">
            <w:pPr>
              <w:jc w:val="right"/>
              <w:rPr>
                <w:color w:val="000000"/>
              </w:rPr>
            </w:pPr>
            <w:r w:rsidRPr="00F10641">
              <w:rPr>
                <w:color w:val="000000"/>
              </w:rPr>
              <w:t xml:space="preserve">  </w:t>
            </w:r>
            <w:r w:rsidR="00F10641" w:rsidRPr="00F10641">
              <w:rPr>
                <w:color w:val="000000"/>
              </w:rPr>
              <w:t>Outcomes</w:t>
            </w:r>
            <w:r w:rsidRPr="00F10641">
              <w:rPr>
                <w:color w:val="000000"/>
              </w:rPr>
              <w:t xml:space="preserve"> </w:t>
            </w:r>
          </w:p>
          <w:p w14:paraId="70A38234" w14:textId="77777777" w:rsidR="00B44E1F" w:rsidRPr="00F10641" w:rsidRDefault="00B44E1F" w:rsidP="00E50AF6">
            <w:pPr>
              <w:rPr>
                <w:color w:val="000000"/>
              </w:rPr>
            </w:pPr>
          </w:p>
          <w:p w14:paraId="4BC6FC67" w14:textId="77777777" w:rsidR="00B44E1F" w:rsidRPr="00F10641" w:rsidRDefault="00F10641" w:rsidP="00E50AF6">
            <w:pPr>
              <w:rPr>
                <w:color w:val="000000"/>
              </w:rPr>
            </w:pPr>
            <w:r w:rsidRPr="00F10641">
              <w:rPr>
                <w:color w:val="000000"/>
              </w:rPr>
              <w:t>Objectives</w:t>
            </w:r>
          </w:p>
        </w:tc>
        <w:tc>
          <w:tcPr>
            <w:tcW w:w="668" w:type="dxa"/>
            <w:tcBorders>
              <w:top w:val="single" w:sz="4" w:space="0" w:color="auto"/>
              <w:left w:val="single" w:sz="6" w:space="0" w:color="auto"/>
              <w:bottom w:val="single" w:sz="6" w:space="0" w:color="auto"/>
              <w:right w:val="single" w:sz="6" w:space="0" w:color="auto"/>
            </w:tcBorders>
          </w:tcPr>
          <w:p w14:paraId="2BCDCA78" w14:textId="77777777" w:rsidR="00B44E1F" w:rsidRPr="00F10641" w:rsidRDefault="00B44E1F" w:rsidP="00E50AF6">
            <w:pPr>
              <w:jc w:val="center"/>
              <w:rPr>
                <w:color w:val="000000"/>
              </w:rPr>
            </w:pPr>
          </w:p>
          <w:p w14:paraId="10DD2946" w14:textId="77777777" w:rsidR="00B44E1F" w:rsidRPr="00F10641" w:rsidRDefault="00B44E1F" w:rsidP="00F10641">
            <w:pPr>
              <w:jc w:val="center"/>
              <w:rPr>
                <w:color w:val="000000"/>
              </w:rPr>
            </w:pPr>
            <w:r w:rsidRPr="00F10641">
              <w:rPr>
                <w:color w:val="000000"/>
              </w:rPr>
              <w:t>a</w:t>
            </w:r>
          </w:p>
        </w:tc>
        <w:tc>
          <w:tcPr>
            <w:tcW w:w="646" w:type="dxa"/>
            <w:tcBorders>
              <w:top w:val="single" w:sz="4" w:space="0" w:color="auto"/>
              <w:left w:val="single" w:sz="6" w:space="0" w:color="auto"/>
              <w:bottom w:val="single" w:sz="6" w:space="0" w:color="auto"/>
              <w:right w:val="single" w:sz="6" w:space="0" w:color="auto"/>
            </w:tcBorders>
          </w:tcPr>
          <w:p w14:paraId="0F852771" w14:textId="77777777" w:rsidR="00B44E1F" w:rsidRPr="00F10641" w:rsidRDefault="00B44E1F" w:rsidP="00E50AF6">
            <w:pPr>
              <w:jc w:val="center"/>
              <w:rPr>
                <w:color w:val="000000"/>
              </w:rPr>
            </w:pPr>
          </w:p>
          <w:p w14:paraId="0246D8B2" w14:textId="77777777" w:rsidR="00B44E1F" w:rsidRPr="00F10641" w:rsidRDefault="00B44E1F" w:rsidP="00F10641">
            <w:pPr>
              <w:jc w:val="center"/>
              <w:rPr>
                <w:color w:val="000000"/>
              </w:rPr>
            </w:pPr>
            <w:r w:rsidRPr="00F10641">
              <w:rPr>
                <w:color w:val="000000"/>
              </w:rPr>
              <w:t>b</w:t>
            </w:r>
          </w:p>
        </w:tc>
        <w:tc>
          <w:tcPr>
            <w:tcW w:w="646" w:type="dxa"/>
            <w:tcBorders>
              <w:top w:val="single" w:sz="4" w:space="0" w:color="auto"/>
              <w:left w:val="single" w:sz="6" w:space="0" w:color="auto"/>
              <w:bottom w:val="single" w:sz="6" w:space="0" w:color="auto"/>
              <w:right w:val="single" w:sz="6" w:space="0" w:color="auto"/>
            </w:tcBorders>
          </w:tcPr>
          <w:p w14:paraId="72F3D271" w14:textId="77777777" w:rsidR="00B44E1F" w:rsidRPr="00F10641" w:rsidRDefault="00B44E1F" w:rsidP="00E50AF6">
            <w:pPr>
              <w:jc w:val="center"/>
              <w:rPr>
                <w:color w:val="000000"/>
              </w:rPr>
            </w:pPr>
          </w:p>
          <w:p w14:paraId="0EDD3896" w14:textId="77777777" w:rsidR="00B44E1F" w:rsidRPr="00F10641" w:rsidRDefault="00B44E1F" w:rsidP="00F10641">
            <w:pPr>
              <w:jc w:val="center"/>
              <w:rPr>
                <w:color w:val="000000"/>
              </w:rPr>
            </w:pPr>
            <w:r w:rsidRPr="00F10641">
              <w:rPr>
                <w:color w:val="000000"/>
              </w:rPr>
              <w:t>c</w:t>
            </w:r>
          </w:p>
        </w:tc>
        <w:tc>
          <w:tcPr>
            <w:tcW w:w="646" w:type="dxa"/>
            <w:tcBorders>
              <w:top w:val="single" w:sz="4" w:space="0" w:color="auto"/>
              <w:left w:val="single" w:sz="6" w:space="0" w:color="auto"/>
              <w:bottom w:val="single" w:sz="6" w:space="0" w:color="auto"/>
              <w:right w:val="single" w:sz="6" w:space="0" w:color="auto"/>
            </w:tcBorders>
          </w:tcPr>
          <w:p w14:paraId="57D07C87" w14:textId="77777777" w:rsidR="00B44E1F" w:rsidRPr="00F10641" w:rsidRDefault="00B44E1F" w:rsidP="00E50AF6">
            <w:pPr>
              <w:jc w:val="center"/>
              <w:rPr>
                <w:color w:val="000000"/>
              </w:rPr>
            </w:pPr>
          </w:p>
          <w:p w14:paraId="74461D0F" w14:textId="77777777" w:rsidR="00B44E1F" w:rsidRPr="00F10641" w:rsidRDefault="00B44E1F" w:rsidP="00F10641">
            <w:pPr>
              <w:jc w:val="center"/>
              <w:rPr>
                <w:color w:val="000000"/>
              </w:rPr>
            </w:pPr>
            <w:r w:rsidRPr="00F10641">
              <w:rPr>
                <w:color w:val="000000"/>
              </w:rPr>
              <w:t>d</w:t>
            </w:r>
          </w:p>
        </w:tc>
        <w:tc>
          <w:tcPr>
            <w:tcW w:w="646" w:type="dxa"/>
            <w:tcBorders>
              <w:top w:val="single" w:sz="4" w:space="0" w:color="auto"/>
              <w:left w:val="single" w:sz="6" w:space="0" w:color="auto"/>
              <w:bottom w:val="single" w:sz="6" w:space="0" w:color="auto"/>
              <w:right w:val="single" w:sz="6" w:space="0" w:color="auto"/>
            </w:tcBorders>
          </w:tcPr>
          <w:p w14:paraId="40D5B65F" w14:textId="77777777" w:rsidR="00B44E1F" w:rsidRPr="00F10641" w:rsidRDefault="00B44E1F" w:rsidP="00E50AF6">
            <w:pPr>
              <w:jc w:val="center"/>
              <w:rPr>
                <w:color w:val="000000"/>
              </w:rPr>
            </w:pPr>
          </w:p>
          <w:p w14:paraId="61C21FF8" w14:textId="77777777" w:rsidR="00B44E1F" w:rsidRPr="00F10641" w:rsidRDefault="00B44E1F" w:rsidP="00F10641">
            <w:pPr>
              <w:jc w:val="center"/>
              <w:rPr>
                <w:color w:val="000000"/>
              </w:rPr>
            </w:pPr>
            <w:r w:rsidRPr="00F10641">
              <w:rPr>
                <w:color w:val="000000"/>
              </w:rPr>
              <w:t>e</w:t>
            </w:r>
          </w:p>
        </w:tc>
        <w:tc>
          <w:tcPr>
            <w:tcW w:w="646" w:type="dxa"/>
            <w:tcBorders>
              <w:top w:val="single" w:sz="4" w:space="0" w:color="auto"/>
              <w:left w:val="single" w:sz="6" w:space="0" w:color="auto"/>
              <w:bottom w:val="single" w:sz="6" w:space="0" w:color="auto"/>
              <w:right w:val="single" w:sz="6" w:space="0" w:color="auto"/>
            </w:tcBorders>
          </w:tcPr>
          <w:p w14:paraId="6F51558B" w14:textId="77777777" w:rsidR="00B44E1F" w:rsidRPr="00F10641" w:rsidRDefault="00B44E1F" w:rsidP="00E50AF6">
            <w:pPr>
              <w:jc w:val="center"/>
              <w:rPr>
                <w:color w:val="000000"/>
              </w:rPr>
            </w:pPr>
          </w:p>
          <w:p w14:paraId="1E4B9748" w14:textId="77777777" w:rsidR="00B44E1F" w:rsidRPr="00F10641" w:rsidRDefault="00B44E1F" w:rsidP="00F10641">
            <w:pPr>
              <w:jc w:val="center"/>
              <w:rPr>
                <w:color w:val="000000"/>
              </w:rPr>
            </w:pPr>
            <w:r w:rsidRPr="00F10641">
              <w:rPr>
                <w:color w:val="000000"/>
              </w:rPr>
              <w:t>f</w:t>
            </w:r>
          </w:p>
        </w:tc>
        <w:tc>
          <w:tcPr>
            <w:tcW w:w="646" w:type="dxa"/>
            <w:tcBorders>
              <w:top w:val="single" w:sz="4" w:space="0" w:color="auto"/>
              <w:left w:val="single" w:sz="6" w:space="0" w:color="auto"/>
              <w:bottom w:val="single" w:sz="6" w:space="0" w:color="auto"/>
              <w:right w:val="single" w:sz="6" w:space="0" w:color="auto"/>
            </w:tcBorders>
          </w:tcPr>
          <w:p w14:paraId="54F75A48" w14:textId="77777777" w:rsidR="00B44E1F" w:rsidRPr="00F10641" w:rsidRDefault="00B44E1F" w:rsidP="00E50AF6">
            <w:pPr>
              <w:jc w:val="center"/>
              <w:rPr>
                <w:color w:val="000000"/>
              </w:rPr>
            </w:pPr>
          </w:p>
          <w:p w14:paraId="304F4DAE" w14:textId="77777777" w:rsidR="00B44E1F" w:rsidRPr="00F10641" w:rsidRDefault="00B44E1F" w:rsidP="00F10641">
            <w:pPr>
              <w:jc w:val="center"/>
              <w:rPr>
                <w:color w:val="000000"/>
              </w:rPr>
            </w:pPr>
            <w:r w:rsidRPr="00F10641">
              <w:rPr>
                <w:color w:val="000000"/>
              </w:rPr>
              <w:t>g</w:t>
            </w:r>
          </w:p>
        </w:tc>
        <w:tc>
          <w:tcPr>
            <w:tcW w:w="646" w:type="dxa"/>
            <w:tcBorders>
              <w:top w:val="single" w:sz="4" w:space="0" w:color="auto"/>
              <w:left w:val="single" w:sz="6" w:space="0" w:color="auto"/>
              <w:bottom w:val="single" w:sz="6" w:space="0" w:color="auto"/>
              <w:right w:val="single" w:sz="6" w:space="0" w:color="auto"/>
            </w:tcBorders>
          </w:tcPr>
          <w:p w14:paraId="6D63D7A9" w14:textId="77777777" w:rsidR="00B44E1F" w:rsidRPr="00F10641" w:rsidRDefault="00B44E1F" w:rsidP="00E50AF6">
            <w:pPr>
              <w:jc w:val="center"/>
              <w:rPr>
                <w:color w:val="000000"/>
              </w:rPr>
            </w:pPr>
          </w:p>
          <w:p w14:paraId="2A556B3A" w14:textId="77777777" w:rsidR="00B44E1F" w:rsidRPr="00F10641" w:rsidRDefault="00B44E1F" w:rsidP="00F10641">
            <w:pPr>
              <w:jc w:val="center"/>
              <w:rPr>
                <w:color w:val="000000"/>
              </w:rPr>
            </w:pPr>
            <w:r w:rsidRPr="00F10641">
              <w:rPr>
                <w:color w:val="000000"/>
              </w:rPr>
              <w:t>h</w:t>
            </w:r>
          </w:p>
        </w:tc>
        <w:tc>
          <w:tcPr>
            <w:tcW w:w="646" w:type="dxa"/>
            <w:tcBorders>
              <w:top w:val="single" w:sz="4" w:space="0" w:color="auto"/>
              <w:left w:val="single" w:sz="6" w:space="0" w:color="auto"/>
              <w:bottom w:val="single" w:sz="6" w:space="0" w:color="auto"/>
              <w:right w:val="single" w:sz="6" w:space="0" w:color="auto"/>
            </w:tcBorders>
          </w:tcPr>
          <w:p w14:paraId="29FF5B3A" w14:textId="77777777" w:rsidR="00B44E1F" w:rsidRPr="00F10641" w:rsidRDefault="00B44E1F" w:rsidP="00E50AF6">
            <w:pPr>
              <w:jc w:val="center"/>
              <w:rPr>
                <w:color w:val="000000"/>
              </w:rPr>
            </w:pPr>
          </w:p>
          <w:p w14:paraId="445B7AAA" w14:textId="77777777" w:rsidR="00B44E1F" w:rsidRPr="00F10641" w:rsidRDefault="00B44E1F" w:rsidP="00F10641">
            <w:pPr>
              <w:jc w:val="center"/>
              <w:rPr>
                <w:color w:val="000000"/>
              </w:rPr>
            </w:pPr>
            <w:r w:rsidRPr="00F10641">
              <w:rPr>
                <w:color w:val="000000"/>
              </w:rPr>
              <w:t>i</w:t>
            </w:r>
          </w:p>
        </w:tc>
        <w:tc>
          <w:tcPr>
            <w:tcW w:w="646" w:type="dxa"/>
            <w:tcBorders>
              <w:top w:val="single" w:sz="4" w:space="0" w:color="auto"/>
              <w:left w:val="single" w:sz="6" w:space="0" w:color="auto"/>
              <w:bottom w:val="single" w:sz="6" w:space="0" w:color="auto"/>
              <w:right w:val="single" w:sz="6" w:space="0" w:color="auto"/>
            </w:tcBorders>
          </w:tcPr>
          <w:p w14:paraId="047DA740" w14:textId="77777777" w:rsidR="00B44E1F" w:rsidRPr="00F10641" w:rsidRDefault="00B44E1F" w:rsidP="00E50AF6">
            <w:pPr>
              <w:jc w:val="center"/>
              <w:rPr>
                <w:color w:val="000000"/>
              </w:rPr>
            </w:pPr>
          </w:p>
          <w:p w14:paraId="6385ED68" w14:textId="77777777" w:rsidR="00B44E1F" w:rsidRPr="00F10641" w:rsidRDefault="00B44E1F" w:rsidP="00F10641">
            <w:pPr>
              <w:jc w:val="center"/>
              <w:rPr>
                <w:color w:val="000000"/>
              </w:rPr>
            </w:pPr>
            <w:r w:rsidRPr="00F10641">
              <w:rPr>
                <w:color w:val="000000"/>
              </w:rPr>
              <w:t>j</w:t>
            </w:r>
          </w:p>
        </w:tc>
        <w:tc>
          <w:tcPr>
            <w:tcW w:w="646" w:type="dxa"/>
            <w:gridSpan w:val="2"/>
            <w:tcBorders>
              <w:top w:val="single" w:sz="4" w:space="0" w:color="auto"/>
              <w:left w:val="single" w:sz="6" w:space="0" w:color="auto"/>
              <w:bottom w:val="single" w:sz="6" w:space="0" w:color="auto"/>
              <w:right w:val="single" w:sz="6" w:space="0" w:color="auto"/>
            </w:tcBorders>
          </w:tcPr>
          <w:p w14:paraId="23F1A099" w14:textId="77777777" w:rsidR="00B44E1F" w:rsidRPr="00F10641" w:rsidRDefault="00B44E1F" w:rsidP="00E50AF6">
            <w:pPr>
              <w:jc w:val="center"/>
              <w:rPr>
                <w:color w:val="000000"/>
              </w:rPr>
            </w:pPr>
          </w:p>
          <w:p w14:paraId="07AAE40E" w14:textId="77777777" w:rsidR="00B44E1F" w:rsidRPr="00F10641" w:rsidRDefault="00B44E1F" w:rsidP="00F10641">
            <w:pPr>
              <w:jc w:val="center"/>
              <w:rPr>
                <w:color w:val="000000"/>
              </w:rPr>
            </w:pPr>
            <w:r w:rsidRPr="00F10641">
              <w:rPr>
                <w:color w:val="000000"/>
              </w:rPr>
              <w:t>k</w:t>
            </w:r>
          </w:p>
        </w:tc>
      </w:tr>
      <w:tr w:rsidR="00B44E1F" w:rsidRPr="00D3014F" w14:paraId="55D1F1C7" w14:textId="77777777" w:rsidTr="004D7A42">
        <w:trPr>
          <w:trHeight w:val="375"/>
        </w:trPr>
        <w:tc>
          <w:tcPr>
            <w:tcW w:w="1728" w:type="dxa"/>
            <w:tcBorders>
              <w:top w:val="single" w:sz="6" w:space="0" w:color="auto"/>
              <w:left w:val="single" w:sz="4" w:space="0" w:color="auto"/>
              <w:bottom w:val="single" w:sz="6" w:space="0" w:color="auto"/>
              <w:right w:val="single" w:sz="6" w:space="0" w:color="auto"/>
            </w:tcBorders>
          </w:tcPr>
          <w:p w14:paraId="6B125F97" w14:textId="77777777" w:rsidR="00B44E1F" w:rsidRPr="00F10641" w:rsidRDefault="00F10641" w:rsidP="00E50AF6">
            <w:pPr>
              <w:ind w:left="180" w:hanging="180"/>
              <w:rPr>
                <w:color w:val="000000"/>
                <w:sz w:val="22"/>
                <w:szCs w:val="22"/>
              </w:rPr>
            </w:pPr>
            <w:r>
              <w:rPr>
                <w:color w:val="000000"/>
                <w:sz w:val="22"/>
                <w:szCs w:val="22"/>
              </w:rPr>
              <w:t>1 Apply Met Eng Prin</w:t>
            </w:r>
            <w:r w:rsidR="00B44E1F" w:rsidRPr="00F10641">
              <w:rPr>
                <w:color w:val="000000"/>
                <w:sz w:val="22"/>
                <w:szCs w:val="22"/>
              </w:rPr>
              <w:t>.</w:t>
            </w:r>
          </w:p>
        </w:tc>
        <w:tc>
          <w:tcPr>
            <w:tcW w:w="6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AEA0796" w14:textId="77777777" w:rsidR="00B44E1F" w:rsidRPr="00D3014F" w:rsidRDefault="00B44E1F" w:rsidP="00E50AF6">
            <w:pPr>
              <w:rPr>
                <w:color w:val="000000"/>
                <w:sz w:val="20"/>
                <w:highlight w:val="darkBlue"/>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F31D657"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F8A111"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5E4804BB"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EA6802"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3AA4C1AF"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5DA72FD0"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71E22536"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0BBA82FB"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0D3F7C20" w14:textId="77777777" w:rsidR="00B44E1F" w:rsidRPr="00D3014F" w:rsidRDefault="00B44E1F" w:rsidP="00E50AF6">
            <w:pPr>
              <w:rPr>
                <w:color w:val="000000"/>
                <w:sz w:val="20"/>
              </w:rPr>
            </w:pPr>
          </w:p>
        </w:tc>
        <w:tc>
          <w:tcPr>
            <w:tcW w:w="646" w:type="dxa"/>
            <w:gridSpan w:val="2"/>
            <w:tcBorders>
              <w:top w:val="single" w:sz="6" w:space="0" w:color="auto"/>
              <w:left w:val="single" w:sz="6" w:space="0" w:color="auto"/>
              <w:bottom w:val="single" w:sz="6" w:space="0" w:color="auto"/>
              <w:right w:val="single" w:sz="6" w:space="0" w:color="auto"/>
            </w:tcBorders>
          </w:tcPr>
          <w:p w14:paraId="5789A028" w14:textId="77777777" w:rsidR="00B44E1F" w:rsidRPr="00D3014F" w:rsidRDefault="00B44E1F" w:rsidP="00E50AF6">
            <w:pPr>
              <w:rPr>
                <w:color w:val="000000"/>
                <w:sz w:val="20"/>
              </w:rPr>
            </w:pPr>
          </w:p>
        </w:tc>
      </w:tr>
      <w:tr w:rsidR="00B44E1F" w:rsidRPr="00D3014F" w14:paraId="4A180453" w14:textId="77777777" w:rsidTr="004D7A42">
        <w:trPr>
          <w:trHeight w:val="375"/>
        </w:trPr>
        <w:tc>
          <w:tcPr>
            <w:tcW w:w="1728" w:type="dxa"/>
            <w:tcBorders>
              <w:top w:val="single" w:sz="6" w:space="0" w:color="auto"/>
              <w:left w:val="single" w:sz="4" w:space="0" w:color="auto"/>
              <w:bottom w:val="single" w:sz="6" w:space="0" w:color="auto"/>
              <w:right w:val="single" w:sz="6" w:space="0" w:color="auto"/>
            </w:tcBorders>
          </w:tcPr>
          <w:p w14:paraId="72353190" w14:textId="77777777" w:rsidR="00B44E1F" w:rsidRPr="00F10641" w:rsidRDefault="00B44E1F" w:rsidP="00E50AF6">
            <w:pPr>
              <w:ind w:left="180" w:hanging="180"/>
              <w:rPr>
                <w:color w:val="000000"/>
                <w:sz w:val="22"/>
                <w:szCs w:val="22"/>
              </w:rPr>
            </w:pPr>
            <w:r w:rsidRPr="00F10641">
              <w:rPr>
                <w:color w:val="000000"/>
                <w:sz w:val="22"/>
                <w:szCs w:val="22"/>
              </w:rPr>
              <w:t>2 Meet Societal Needs</w:t>
            </w:r>
          </w:p>
        </w:tc>
        <w:tc>
          <w:tcPr>
            <w:tcW w:w="668" w:type="dxa"/>
            <w:tcBorders>
              <w:top w:val="single" w:sz="6" w:space="0" w:color="auto"/>
              <w:left w:val="single" w:sz="6" w:space="0" w:color="auto"/>
              <w:bottom w:val="single" w:sz="6" w:space="0" w:color="auto"/>
              <w:right w:val="single" w:sz="6" w:space="0" w:color="auto"/>
            </w:tcBorders>
          </w:tcPr>
          <w:p w14:paraId="7DBB4C15"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1562BBB1"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07C724BC"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7DD8F2F2"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06ED2607"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52D8949D"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59CA1C1B"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A5262E"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0FB67B8B" w14:textId="77777777" w:rsidR="00B44E1F" w:rsidRPr="00D3014F" w:rsidRDefault="00B44E1F"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AE4C40" w14:textId="77777777" w:rsidR="00B44E1F" w:rsidRPr="00D3014F" w:rsidRDefault="00B44E1F" w:rsidP="00E50AF6">
            <w:pPr>
              <w:rPr>
                <w:color w:val="000000"/>
                <w:sz w:val="20"/>
              </w:rPr>
            </w:pPr>
          </w:p>
        </w:tc>
        <w:tc>
          <w:tcPr>
            <w:tcW w:w="646" w:type="dxa"/>
            <w:gridSpan w:val="2"/>
            <w:tcBorders>
              <w:top w:val="single" w:sz="6" w:space="0" w:color="auto"/>
              <w:left w:val="single" w:sz="6" w:space="0" w:color="auto"/>
              <w:bottom w:val="single" w:sz="6" w:space="0" w:color="auto"/>
              <w:right w:val="single" w:sz="6" w:space="0" w:color="auto"/>
            </w:tcBorders>
          </w:tcPr>
          <w:p w14:paraId="47B01B66" w14:textId="77777777" w:rsidR="00B44E1F" w:rsidRPr="00D3014F" w:rsidRDefault="00B44E1F" w:rsidP="00E50AF6">
            <w:pPr>
              <w:rPr>
                <w:color w:val="000000"/>
                <w:sz w:val="20"/>
              </w:rPr>
            </w:pPr>
          </w:p>
        </w:tc>
      </w:tr>
      <w:tr w:rsidR="004D7A42" w:rsidRPr="00D3014F" w14:paraId="0C107CD7" w14:textId="77777777" w:rsidTr="004D7A42">
        <w:trPr>
          <w:trHeight w:val="375"/>
        </w:trPr>
        <w:tc>
          <w:tcPr>
            <w:tcW w:w="1728" w:type="dxa"/>
            <w:tcBorders>
              <w:top w:val="single" w:sz="6" w:space="0" w:color="auto"/>
              <w:left w:val="single" w:sz="4" w:space="0" w:color="auto"/>
              <w:bottom w:val="single" w:sz="6" w:space="0" w:color="auto"/>
              <w:right w:val="single" w:sz="6" w:space="0" w:color="auto"/>
            </w:tcBorders>
          </w:tcPr>
          <w:p w14:paraId="166AD00D" w14:textId="77777777" w:rsidR="004D7A42" w:rsidRPr="00F10641" w:rsidRDefault="004D7A42" w:rsidP="00E50AF6">
            <w:pPr>
              <w:ind w:left="180" w:hanging="180"/>
              <w:rPr>
                <w:color w:val="000000"/>
                <w:sz w:val="22"/>
                <w:szCs w:val="22"/>
              </w:rPr>
            </w:pPr>
            <w:r w:rsidRPr="00F10641">
              <w:rPr>
                <w:color w:val="000000"/>
                <w:sz w:val="22"/>
                <w:szCs w:val="22"/>
              </w:rPr>
              <w:t xml:space="preserve">3 </w:t>
            </w:r>
            <w:r w:rsidRPr="00F10641">
              <w:rPr>
                <w:color w:val="000000"/>
                <w:sz w:val="22"/>
                <w:szCs w:val="22"/>
              </w:rPr>
              <w:tab/>
              <w:t>Grow Prof &amp; Personally.</w:t>
            </w:r>
          </w:p>
        </w:tc>
        <w:tc>
          <w:tcPr>
            <w:tcW w:w="668" w:type="dxa"/>
            <w:tcBorders>
              <w:top w:val="single" w:sz="6" w:space="0" w:color="auto"/>
              <w:left w:val="single" w:sz="6" w:space="0" w:color="auto"/>
              <w:bottom w:val="single" w:sz="6" w:space="0" w:color="auto"/>
              <w:right w:val="single" w:sz="6" w:space="0" w:color="auto"/>
            </w:tcBorders>
          </w:tcPr>
          <w:p w14:paraId="1ABC4BC8"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44B3EEF4"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45E2E26E"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2C155CFF"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4A9D5D9B"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21CDB47" w14:textId="77777777" w:rsidR="004D7A42" w:rsidRPr="00D3014F" w:rsidRDefault="004D7A42" w:rsidP="008B6DFE">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7814EFB5"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563CE671"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9616845"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28EA1C80" w14:textId="77777777" w:rsidR="004D7A42" w:rsidRPr="00D3014F" w:rsidRDefault="004D7A42" w:rsidP="00E50AF6">
            <w:pPr>
              <w:rPr>
                <w:color w:val="000000"/>
                <w:sz w:val="20"/>
              </w:rPr>
            </w:pPr>
          </w:p>
        </w:tc>
        <w:tc>
          <w:tcPr>
            <w:tcW w:w="64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5410AD" w14:textId="77777777" w:rsidR="004D7A42" w:rsidRPr="00D3014F" w:rsidRDefault="004D7A42" w:rsidP="00E50AF6">
            <w:pPr>
              <w:rPr>
                <w:color w:val="000000"/>
                <w:sz w:val="20"/>
              </w:rPr>
            </w:pPr>
          </w:p>
        </w:tc>
      </w:tr>
      <w:tr w:rsidR="004D7A42" w:rsidRPr="00D3014F" w14:paraId="092C51DE" w14:textId="77777777" w:rsidTr="004D7A42">
        <w:trPr>
          <w:trHeight w:val="375"/>
        </w:trPr>
        <w:tc>
          <w:tcPr>
            <w:tcW w:w="1728" w:type="dxa"/>
            <w:tcBorders>
              <w:top w:val="single" w:sz="6" w:space="0" w:color="auto"/>
              <w:left w:val="single" w:sz="4" w:space="0" w:color="auto"/>
              <w:bottom w:val="single" w:sz="6" w:space="0" w:color="auto"/>
              <w:right w:val="single" w:sz="6" w:space="0" w:color="auto"/>
            </w:tcBorders>
          </w:tcPr>
          <w:p w14:paraId="6F91FC39" w14:textId="77777777" w:rsidR="004D7A42" w:rsidRPr="00F10641" w:rsidRDefault="004D7A42" w:rsidP="00E50AF6">
            <w:pPr>
              <w:ind w:left="180" w:hanging="180"/>
              <w:rPr>
                <w:color w:val="000000"/>
                <w:sz w:val="22"/>
                <w:szCs w:val="22"/>
              </w:rPr>
            </w:pPr>
            <w:r w:rsidRPr="00F10641">
              <w:rPr>
                <w:color w:val="000000"/>
                <w:sz w:val="22"/>
                <w:szCs w:val="22"/>
              </w:rPr>
              <w:t xml:space="preserve">4 </w:t>
            </w:r>
            <w:r w:rsidRPr="00F10641">
              <w:rPr>
                <w:color w:val="000000"/>
                <w:sz w:val="22"/>
                <w:szCs w:val="22"/>
              </w:rPr>
              <w:tab/>
              <w:t>Serve Comm. &amp; Profession.</w:t>
            </w:r>
          </w:p>
        </w:tc>
        <w:tc>
          <w:tcPr>
            <w:tcW w:w="668" w:type="dxa"/>
            <w:tcBorders>
              <w:top w:val="single" w:sz="6" w:space="0" w:color="auto"/>
              <w:left w:val="single" w:sz="6" w:space="0" w:color="auto"/>
              <w:bottom w:val="single" w:sz="6" w:space="0" w:color="auto"/>
              <w:right w:val="single" w:sz="6" w:space="0" w:color="auto"/>
            </w:tcBorders>
          </w:tcPr>
          <w:p w14:paraId="4E8618C8"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09719716"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65BDE614"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308B38"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7E59CA24"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ACCF5F" w14:textId="77777777" w:rsidR="004D7A42" w:rsidRPr="00D3014F" w:rsidRDefault="004D7A42" w:rsidP="008B6DFE">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9C58EF"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460CB878"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tcPr>
          <w:p w14:paraId="710D9FCB" w14:textId="77777777" w:rsidR="004D7A42" w:rsidRPr="00D3014F" w:rsidRDefault="004D7A42" w:rsidP="00E50AF6">
            <w:pPr>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B82489" w14:textId="77777777" w:rsidR="004D7A42" w:rsidRPr="00D3014F" w:rsidRDefault="004D7A42" w:rsidP="00E50AF6">
            <w:pPr>
              <w:rPr>
                <w:color w:val="000000"/>
                <w:sz w:val="20"/>
              </w:rPr>
            </w:pPr>
          </w:p>
        </w:tc>
        <w:tc>
          <w:tcPr>
            <w:tcW w:w="646" w:type="dxa"/>
            <w:gridSpan w:val="2"/>
            <w:tcBorders>
              <w:top w:val="single" w:sz="6" w:space="0" w:color="auto"/>
              <w:left w:val="single" w:sz="6" w:space="0" w:color="auto"/>
              <w:bottom w:val="single" w:sz="6" w:space="0" w:color="auto"/>
              <w:right w:val="single" w:sz="6" w:space="0" w:color="auto"/>
            </w:tcBorders>
          </w:tcPr>
          <w:p w14:paraId="5D5E63ED" w14:textId="77777777" w:rsidR="004D7A42" w:rsidRPr="00D3014F" w:rsidRDefault="004D7A42" w:rsidP="00E50AF6">
            <w:pPr>
              <w:rPr>
                <w:color w:val="000000"/>
                <w:sz w:val="20"/>
              </w:rPr>
            </w:pPr>
          </w:p>
        </w:tc>
      </w:tr>
    </w:tbl>
    <w:p w14:paraId="044D722A" w14:textId="77777777" w:rsidR="00B44E1F" w:rsidRPr="00D3014F" w:rsidRDefault="00B44E1F" w:rsidP="00B44E1F">
      <w:pPr>
        <w:rPr>
          <w:color w:val="000000"/>
          <w:sz w:val="20"/>
        </w:rPr>
      </w:pPr>
    </w:p>
    <w:p w14:paraId="2A2177CC" w14:textId="77777777" w:rsidR="00B44E1F" w:rsidRPr="007E2A5B" w:rsidRDefault="00B44E1F" w:rsidP="00B44E1F">
      <w:pPr>
        <w:pStyle w:val="ABETsmalllettertab"/>
        <w:tabs>
          <w:tab w:val="clear" w:pos="360"/>
        </w:tabs>
        <w:rPr>
          <w:color w:val="800080"/>
        </w:rPr>
      </w:pPr>
    </w:p>
    <w:p w14:paraId="245CED67" w14:textId="77777777" w:rsidR="00A674BF" w:rsidRDefault="00A674BF">
      <w:pPr>
        <w:rPr>
          <w:szCs w:val="20"/>
        </w:rPr>
      </w:pPr>
      <w:r>
        <w:rPr>
          <w:szCs w:val="20"/>
        </w:rPr>
        <w:br w:type="page"/>
      </w:r>
    </w:p>
    <w:p w14:paraId="60FD8BF9" w14:textId="530C927F" w:rsidR="00B44E1F" w:rsidRDefault="00B44E1F" w:rsidP="00B44E1F">
      <w:pPr>
        <w:rPr>
          <w:szCs w:val="20"/>
        </w:rPr>
      </w:pPr>
      <w:r>
        <w:rPr>
          <w:szCs w:val="20"/>
        </w:rPr>
        <w:lastRenderedPageBreak/>
        <w:t>Table 3-</w:t>
      </w:r>
      <w:r w:rsidR="00251818">
        <w:rPr>
          <w:szCs w:val="20"/>
        </w:rPr>
        <w:t>3</w:t>
      </w:r>
      <w:r>
        <w:rPr>
          <w:szCs w:val="20"/>
        </w:rPr>
        <w:t xml:space="preserve"> is a quality function deployment matrix (QFDM) that shows the relationship of curricular elements, which are shown along the top row, to the program outcomes, which are shown in the first column.  A value of </w:t>
      </w:r>
      <w:r w:rsidRPr="003A4C42">
        <w:rPr>
          <w:i/>
          <w:szCs w:val="20"/>
        </w:rPr>
        <w:t>9</w:t>
      </w:r>
      <w:r>
        <w:rPr>
          <w:szCs w:val="20"/>
        </w:rPr>
        <w:t xml:space="preserve"> indicates the curricular element is high important to the program outcome; whereas, a </w:t>
      </w:r>
      <w:r w:rsidRPr="003A4C42">
        <w:rPr>
          <w:i/>
          <w:szCs w:val="20"/>
        </w:rPr>
        <w:t>1</w:t>
      </w:r>
      <w:r>
        <w:rPr>
          <w:szCs w:val="20"/>
        </w:rPr>
        <w:t xml:space="preserve"> indicates a low importance.  No value indicates that there is no functional relationship.  A non-linear scale (</w:t>
      </w:r>
      <w:r w:rsidRPr="003A4C42">
        <w:rPr>
          <w:i/>
          <w:szCs w:val="20"/>
        </w:rPr>
        <w:t xml:space="preserve">0, 1, 3, </w:t>
      </w:r>
      <w:proofErr w:type="gramStart"/>
      <w:r w:rsidR="00345FFA">
        <w:rPr>
          <w:i/>
          <w:szCs w:val="20"/>
        </w:rPr>
        <w:t>9</w:t>
      </w:r>
      <w:proofErr w:type="gramEnd"/>
      <w:r>
        <w:rPr>
          <w:szCs w:val="20"/>
        </w:rPr>
        <w:t xml:space="preserve">) is used to give emphasis to most important curricular elements since two elements rating 3 would not be as significant to achievement of a particular outcome </w:t>
      </w:r>
      <w:r w:rsidR="00951EC6">
        <w:rPr>
          <w:szCs w:val="20"/>
        </w:rPr>
        <w:t>a</w:t>
      </w:r>
      <w:r>
        <w:rPr>
          <w:szCs w:val="20"/>
        </w:rPr>
        <w:t>s one element rated 9.  Table 3-</w:t>
      </w:r>
      <w:r w:rsidR="00251818">
        <w:rPr>
          <w:szCs w:val="20"/>
        </w:rPr>
        <w:t>3</w:t>
      </w:r>
      <w:r>
        <w:rPr>
          <w:szCs w:val="20"/>
        </w:rPr>
        <w:t xml:space="preserve"> </w:t>
      </w:r>
      <w:r w:rsidR="00951EC6">
        <w:rPr>
          <w:szCs w:val="20"/>
        </w:rPr>
        <w:t>compares</w:t>
      </w:r>
      <w:r>
        <w:rPr>
          <w:szCs w:val="20"/>
        </w:rPr>
        <w:t xml:space="preserve"> similar courses groups and also shows extra-curricular elements since the program graduate is formed by both course work and extra-curricular activities. </w:t>
      </w:r>
    </w:p>
    <w:p w14:paraId="79EFB881" w14:textId="77777777" w:rsidR="00B44E1F" w:rsidRDefault="00B44E1F" w:rsidP="00B44E1F">
      <w:pPr>
        <w:rPr>
          <w:szCs w:val="20"/>
        </w:rPr>
      </w:pPr>
    </w:p>
    <w:p w14:paraId="7C862006" w14:textId="54D8374D" w:rsidR="00B44E1F" w:rsidRDefault="00B44E1F" w:rsidP="00B44E1F">
      <w:pPr>
        <w:rPr>
          <w:szCs w:val="20"/>
        </w:rPr>
      </w:pPr>
      <w:r>
        <w:rPr>
          <w:szCs w:val="20"/>
        </w:rPr>
        <w:t>A second QFDM for specific courses in the metallurgical engineering program is shown in Table 3-</w:t>
      </w:r>
      <w:r w:rsidR="00251818">
        <w:rPr>
          <w:szCs w:val="20"/>
        </w:rPr>
        <w:t>4</w:t>
      </w:r>
      <w:r>
        <w:rPr>
          <w:szCs w:val="20"/>
        </w:rPr>
        <w:t xml:space="preserve">.  </w:t>
      </w:r>
      <w:r w:rsidR="00951EC6">
        <w:rPr>
          <w:szCs w:val="20"/>
        </w:rPr>
        <w:t xml:space="preserve">In this case the highest rating is 5 rather than 9 because 0, 1, 3, and 5 ratings better describe the effect of coursework on each outcome since effect is somewhat related to time-in-class spent on each outcome.  </w:t>
      </w:r>
      <w:r>
        <w:rPr>
          <w:szCs w:val="20"/>
        </w:rPr>
        <w:t xml:space="preserve">The table at the bottom indicates the total importance to program outcomes of each element.  The last column shows the number of </w:t>
      </w:r>
      <w:r w:rsidRPr="00CA0A82">
        <w:rPr>
          <w:i/>
          <w:szCs w:val="20"/>
        </w:rPr>
        <w:t>high importance</w:t>
      </w:r>
      <w:r>
        <w:rPr>
          <w:szCs w:val="20"/>
        </w:rPr>
        <w:t xml:space="preserve"> elements (highest rated) for each outcome.</w:t>
      </w:r>
    </w:p>
    <w:p w14:paraId="40878D6D" w14:textId="77777777" w:rsidR="00B44E1F" w:rsidRDefault="00B44E1F" w:rsidP="00B44E1F">
      <w:pPr>
        <w:rPr>
          <w:szCs w:val="20"/>
        </w:rPr>
      </w:pPr>
    </w:p>
    <w:p w14:paraId="2B496331" w14:textId="77777777" w:rsidR="00B44E1F" w:rsidRPr="003B536A" w:rsidRDefault="00B44E1F" w:rsidP="00B44E1F">
      <w:pPr>
        <w:rPr>
          <w:szCs w:val="20"/>
        </w:rPr>
      </w:pPr>
      <w:r>
        <w:rPr>
          <w:szCs w:val="20"/>
        </w:rPr>
        <w:t xml:space="preserve">The QFDM is used to determine where in the curriculum action should be directed to achieve improvement in a particular outcome.  Of course, this information also satisfies this element of the </w:t>
      </w:r>
      <w:r w:rsidR="006A0DF7">
        <w:rPr>
          <w:szCs w:val="20"/>
        </w:rPr>
        <w:t>self-</w:t>
      </w:r>
      <w:r w:rsidR="008A45CC">
        <w:rPr>
          <w:szCs w:val="20"/>
        </w:rPr>
        <w:t>study</w:t>
      </w:r>
      <w:r>
        <w:rPr>
          <w:szCs w:val="20"/>
        </w:rPr>
        <w:t>.</w:t>
      </w:r>
    </w:p>
    <w:p w14:paraId="396F2B6A" w14:textId="77777777" w:rsidR="00B44E1F" w:rsidRDefault="00B44E1F" w:rsidP="00B44E1F">
      <w:pPr>
        <w:rPr>
          <w:color w:val="0000FF"/>
        </w:rPr>
      </w:pPr>
    </w:p>
    <w:p w14:paraId="78E14876" w14:textId="77777777" w:rsidR="00B44E1F" w:rsidRPr="003B536A" w:rsidRDefault="00B44E1F" w:rsidP="00B44E1F">
      <w:pPr>
        <w:rPr>
          <w:szCs w:val="20"/>
        </w:rPr>
      </w:pPr>
    </w:p>
    <w:p w14:paraId="75A5D797" w14:textId="77777777" w:rsidR="00B44E1F" w:rsidRDefault="00B44E1F" w:rsidP="00B44E1F">
      <w:pPr>
        <w:rPr>
          <w:color w:val="0000FF"/>
        </w:rPr>
      </w:pPr>
    </w:p>
    <w:p w14:paraId="41EC6419" w14:textId="77777777" w:rsidR="00B44E1F" w:rsidRDefault="00B44E1F" w:rsidP="00B44E1F">
      <w:pPr>
        <w:rPr>
          <w:color w:val="0000FF"/>
        </w:rPr>
        <w:sectPr w:rsidR="00B44E1F">
          <w:headerReference w:type="default" r:id="rId10"/>
          <w:footerReference w:type="default" r:id="rId11"/>
          <w:headerReference w:type="first" r:id="rId12"/>
          <w:footerReference w:type="first" r:id="rId13"/>
          <w:pgSz w:w="12240" w:h="15840" w:code="1"/>
          <w:pgMar w:top="864" w:right="1440" w:bottom="864" w:left="1440" w:header="720" w:footer="720" w:gutter="0"/>
          <w:cols w:space="720"/>
        </w:sectPr>
      </w:pPr>
    </w:p>
    <w:bookmarkStart w:id="0" w:name="_MON_1528619977"/>
    <w:bookmarkEnd w:id="0"/>
    <w:p w14:paraId="47BD0F35" w14:textId="77777777" w:rsidR="00BA762E" w:rsidRDefault="00787F75" w:rsidP="00A35513">
      <w:pPr>
        <w:rPr>
          <w:b/>
          <w:color w:val="000000"/>
          <w:sz w:val="22"/>
          <w:szCs w:val="22"/>
        </w:rPr>
        <w:sectPr w:rsidR="00BA762E" w:rsidSect="00775C9A">
          <w:pgSz w:w="15840" w:h="12240" w:orient="landscape"/>
          <w:pgMar w:top="1440" w:right="1440" w:bottom="1440" w:left="1440" w:header="720" w:footer="720" w:gutter="0"/>
          <w:cols w:space="720"/>
          <w:docGrid w:linePitch="360"/>
        </w:sectPr>
      </w:pPr>
      <w:r>
        <w:rPr>
          <w:color w:val="000000"/>
        </w:rPr>
        <w:object w:dxaOrig="15482" w:dyaOrig="8791" w14:anchorId="42044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38.65pt" o:ole="">
            <v:imagedata r:id="rId14" o:title=""/>
          </v:shape>
          <o:OLEObject Type="Embed" ProgID="Excel.Sheet.12" ShapeID="_x0000_i1025" DrawAspect="Content" ObjectID="_1529312789" r:id="rId15"/>
        </w:object>
      </w:r>
      <w:bookmarkStart w:id="1" w:name="_MON_1528620042"/>
      <w:bookmarkEnd w:id="1"/>
      <w:r w:rsidR="00C94364">
        <w:rPr>
          <w:b/>
          <w:color w:val="000000"/>
          <w:sz w:val="22"/>
          <w:szCs w:val="22"/>
        </w:rPr>
        <w:object w:dxaOrig="13393" w:dyaOrig="9058" w14:anchorId="2CED5B7A">
          <v:shape id="_x0000_i1026" type="#_x0000_t75" style="width:669.8pt;height:452.85pt" o:ole="">
            <v:imagedata r:id="rId16" o:title=""/>
          </v:shape>
          <o:OLEObject Type="Embed" ProgID="Excel.Sheet.12" ShapeID="_x0000_i1026" DrawAspect="Content" ObjectID="_1529312790" r:id="rId17"/>
        </w:object>
      </w:r>
    </w:p>
    <w:p w14:paraId="05143113" w14:textId="77777777" w:rsidR="00BA762E" w:rsidRDefault="00BA762E" w:rsidP="00BA762E">
      <w:bookmarkStart w:id="2" w:name="_GoBack"/>
      <w:r>
        <w:lastRenderedPageBreak/>
        <w:t>(</w:t>
      </w:r>
      <w:proofErr w:type="gramStart"/>
      <w:r>
        <w:t>intentionally</w:t>
      </w:r>
      <w:proofErr w:type="gramEnd"/>
      <w:r>
        <w:t xml:space="preserve"> blank)</w:t>
      </w:r>
    </w:p>
    <w:bookmarkEnd w:id="2"/>
    <w:p w14:paraId="5221D1F5" w14:textId="2522EBCE" w:rsidR="00775C9A" w:rsidRPr="00347CA5" w:rsidRDefault="00775C9A" w:rsidP="00A35513">
      <w:pPr>
        <w:rPr>
          <w:b/>
          <w:color w:val="000000"/>
          <w:sz w:val="22"/>
          <w:szCs w:val="22"/>
        </w:rPr>
      </w:pPr>
    </w:p>
    <w:sectPr w:rsidR="00775C9A" w:rsidRPr="00347CA5" w:rsidSect="00BA762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8E3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C1A1" w14:textId="77777777" w:rsidR="009A65F6" w:rsidRDefault="009A65F6">
      <w:r>
        <w:separator/>
      </w:r>
    </w:p>
  </w:endnote>
  <w:endnote w:type="continuationSeparator" w:id="0">
    <w:p w14:paraId="479CFF5D" w14:textId="77777777" w:rsidR="009A65F6" w:rsidRDefault="009A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C30D" w14:textId="77777777" w:rsidR="00B44E1F" w:rsidRPr="00B51278" w:rsidRDefault="00B44E1F" w:rsidP="00021E99">
    <w:pPr>
      <w:pStyle w:val="ABETFootr"/>
      <w:rPr>
        <w:sz w:val="24"/>
        <w:szCs w:val="24"/>
      </w:rPr>
    </w:pPr>
    <w:r w:rsidRPr="00B51278">
      <w:rPr>
        <w:sz w:val="24"/>
        <w:szCs w:val="24"/>
      </w:rPr>
      <w:t>3-</w:t>
    </w:r>
    <w:r w:rsidRPr="00B51278">
      <w:rPr>
        <w:rStyle w:val="PageNumber"/>
        <w:sz w:val="24"/>
        <w:szCs w:val="24"/>
      </w:rPr>
      <w:fldChar w:fldCharType="begin"/>
    </w:r>
    <w:r w:rsidRPr="00B51278">
      <w:rPr>
        <w:rStyle w:val="PageNumber"/>
        <w:sz w:val="24"/>
        <w:szCs w:val="24"/>
      </w:rPr>
      <w:instrText xml:space="preserve"> PAGE </w:instrText>
    </w:r>
    <w:r w:rsidRPr="00B51278">
      <w:rPr>
        <w:rStyle w:val="PageNumber"/>
        <w:sz w:val="24"/>
        <w:szCs w:val="24"/>
      </w:rPr>
      <w:fldChar w:fldCharType="separate"/>
    </w:r>
    <w:r w:rsidR="00B51278">
      <w:rPr>
        <w:rStyle w:val="PageNumber"/>
        <w:noProof/>
        <w:sz w:val="24"/>
        <w:szCs w:val="24"/>
      </w:rPr>
      <w:t>6</w:t>
    </w:r>
    <w:r w:rsidRPr="00B51278">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04C3" w14:textId="77777777" w:rsidR="00B44E1F" w:rsidRPr="00755CE4" w:rsidRDefault="00B44E1F" w:rsidP="00755CE4">
    <w:pPr>
      <w:pStyle w:val="Footer"/>
      <w:tabs>
        <w:tab w:val="clear" w:pos="4320"/>
        <w:tab w:val="clear" w:pos="8640"/>
      </w:tabs>
      <w:jc w:val="center"/>
      <w:rPr>
        <w:sz w:val="22"/>
        <w:szCs w:val="22"/>
      </w:rPr>
    </w:pPr>
    <w:r w:rsidRPr="00755CE4">
      <w:rPr>
        <w:sz w:val="22"/>
        <w:szCs w:val="22"/>
      </w:rPr>
      <w:t>3-</w:t>
    </w:r>
    <w:r w:rsidRPr="00755CE4">
      <w:rPr>
        <w:rStyle w:val="PageNumber"/>
        <w:sz w:val="22"/>
        <w:szCs w:val="22"/>
      </w:rPr>
      <w:fldChar w:fldCharType="begin"/>
    </w:r>
    <w:r w:rsidRPr="00755CE4">
      <w:rPr>
        <w:rStyle w:val="PageNumber"/>
        <w:sz w:val="22"/>
        <w:szCs w:val="22"/>
      </w:rPr>
      <w:instrText xml:space="preserve"> PAGE </w:instrText>
    </w:r>
    <w:r w:rsidRPr="00755CE4">
      <w:rPr>
        <w:rStyle w:val="PageNumber"/>
        <w:sz w:val="22"/>
        <w:szCs w:val="22"/>
      </w:rPr>
      <w:fldChar w:fldCharType="separate"/>
    </w:r>
    <w:r>
      <w:rPr>
        <w:rStyle w:val="PageNumber"/>
        <w:noProof/>
        <w:sz w:val="22"/>
        <w:szCs w:val="22"/>
      </w:rPr>
      <w:t>19</w:t>
    </w:r>
    <w:r w:rsidRPr="00755CE4">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4BD1" w14:textId="77777777" w:rsidR="009A65F6" w:rsidRDefault="009A65F6">
      <w:r>
        <w:separator/>
      </w:r>
    </w:p>
  </w:footnote>
  <w:footnote w:type="continuationSeparator" w:id="0">
    <w:p w14:paraId="196792C0" w14:textId="77777777" w:rsidR="009A65F6" w:rsidRDefault="009A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D44A" w14:textId="5F00C41F" w:rsidR="00B44E1F" w:rsidRPr="00B51278" w:rsidRDefault="00F80A46" w:rsidP="00CA0339">
    <w:pPr>
      <w:pStyle w:val="ABETHeader"/>
      <w:tabs>
        <w:tab w:val="right" w:pos="9360"/>
        <w:tab w:val="right" w:pos="13770"/>
      </w:tabs>
      <w:rPr>
        <w:sz w:val="18"/>
        <w:szCs w:val="18"/>
      </w:rPr>
    </w:pPr>
    <w:r w:rsidRPr="00B51278">
      <w:rPr>
        <w:sz w:val="18"/>
        <w:szCs w:val="18"/>
      </w:rPr>
      <w:t>SDSM&amp;T</w:t>
    </w:r>
    <w:r w:rsidR="00B44E1F" w:rsidRPr="00B51278">
      <w:rPr>
        <w:sz w:val="18"/>
        <w:szCs w:val="18"/>
      </w:rPr>
      <w:t>: BS Metallurgical Engineering Program: Criterion 3.  Program Outcomes</w:t>
    </w:r>
    <w:r w:rsidR="00B44E1F" w:rsidRPr="00B51278">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ABA8" w14:textId="77777777" w:rsidR="00B44E1F" w:rsidRDefault="00B44E1F" w:rsidP="00755CE4">
    <w:pPr>
      <w:pStyle w:val="ABETHeader"/>
      <w:tabs>
        <w:tab w:val="right" w:pos="9360"/>
        <w:tab w:val="right" w:pos="13680"/>
      </w:tabs>
    </w:pPr>
    <w:r w:rsidRPr="00DA1CC4">
      <w:t xml:space="preserve">SDSM&amp;T: </w:t>
    </w:r>
    <w:r>
      <w:t>BS</w:t>
    </w:r>
    <w:r w:rsidRPr="00DA1CC4">
      <w:t xml:space="preserve"> Metallurgical Engineering Program</w:t>
    </w:r>
    <w:r>
      <w:tab/>
      <w:t>Criterion 3. Program Outcomes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26060"/>
    <w:multiLevelType w:val="hybridMultilevel"/>
    <w:tmpl w:val="D64CBA6E"/>
    <w:lvl w:ilvl="0" w:tplc="0409000F">
      <w:start w:val="1"/>
      <w:numFmt w:val="decimal"/>
      <w:lvlText w:val="%1."/>
      <w:lvlJc w:val="left"/>
      <w:pPr>
        <w:ind w:left="36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4F5801"/>
    <w:multiLevelType w:val="hybridMultilevel"/>
    <w:tmpl w:val="C64E2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6F41F9"/>
    <w:multiLevelType w:val="hybridMultilevel"/>
    <w:tmpl w:val="37DC85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FB6BEE"/>
    <w:multiLevelType w:val="hybridMultilevel"/>
    <w:tmpl w:val="7FF43228"/>
    <w:lvl w:ilvl="0" w:tplc="85D6E40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3345E"/>
    <w:multiLevelType w:val="hybridMultilevel"/>
    <w:tmpl w:val="5D1424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E93844"/>
    <w:multiLevelType w:val="hybridMultilevel"/>
    <w:tmpl w:val="6B2CF8A2"/>
    <w:lvl w:ilvl="0" w:tplc="5A422DB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634997"/>
    <w:multiLevelType w:val="hybridMultilevel"/>
    <w:tmpl w:val="C9E85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E20AB7"/>
    <w:multiLevelType w:val="hybridMultilevel"/>
    <w:tmpl w:val="FE90A7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781922"/>
    <w:multiLevelType w:val="hybridMultilevel"/>
    <w:tmpl w:val="5246D0E4"/>
    <w:lvl w:ilvl="0" w:tplc="16A88DB8">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DE57E0"/>
    <w:multiLevelType w:val="hybridMultilevel"/>
    <w:tmpl w:val="AB0C7E78"/>
    <w:lvl w:ilvl="0" w:tplc="28582168">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863463"/>
    <w:multiLevelType w:val="hybridMultilevel"/>
    <w:tmpl w:val="0DFA9964"/>
    <w:lvl w:ilvl="0" w:tplc="ED44CFD0">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951138"/>
    <w:multiLevelType w:val="hybridMultilevel"/>
    <w:tmpl w:val="6546B8F2"/>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1A5FBC"/>
    <w:multiLevelType w:val="hybridMultilevel"/>
    <w:tmpl w:val="8D3E1EDA"/>
    <w:lvl w:ilvl="0" w:tplc="DF2E85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8"/>
  </w:num>
  <w:num w:numId="4">
    <w:abstractNumId w:val="16"/>
  </w:num>
  <w:num w:numId="5">
    <w:abstractNumId w:val="22"/>
  </w:num>
  <w:num w:numId="6">
    <w:abstractNumId w:val="12"/>
  </w:num>
  <w:num w:numId="7">
    <w:abstractNumId w:val="0"/>
  </w:num>
  <w:num w:numId="8">
    <w:abstractNumId w:val="25"/>
  </w:num>
  <w:num w:numId="9">
    <w:abstractNumId w:val="18"/>
  </w:num>
  <w:num w:numId="10">
    <w:abstractNumId w:val="26"/>
  </w:num>
  <w:num w:numId="11">
    <w:abstractNumId w:val="30"/>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32"/>
  </w:num>
  <w:num w:numId="17">
    <w:abstractNumId w:val="13"/>
  </w:num>
  <w:num w:numId="18">
    <w:abstractNumId w:val="36"/>
  </w:num>
  <w:num w:numId="19">
    <w:abstractNumId w:val="4"/>
  </w:num>
  <w:num w:numId="20">
    <w:abstractNumId w:val="35"/>
  </w:num>
  <w:num w:numId="21">
    <w:abstractNumId w:val="34"/>
  </w:num>
  <w:num w:numId="22">
    <w:abstractNumId w:val="9"/>
  </w:num>
  <w:num w:numId="23">
    <w:abstractNumId w:val="28"/>
  </w:num>
  <w:num w:numId="24">
    <w:abstractNumId w:val="6"/>
  </w:num>
  <w:num w:numId="25">
    <w:abstractNumId w:val="29"/>
  </w:num>
  <w:num w:numId="26">
    <w:abstractNumId w:val="20"/>
  </w:num>
  <w:num w:numId="27">
    <w:abstractNumId w:val="27"/>
  </w:num>
  <w:num w:numId="28">
    <w:abstractNumId w:val="19"/>
  </w:num>
  <w:num w:numId="29">
    <w:abstractNumId w:val="3"/>
  </w:num>
  <w:num w:numId="30">
    <w:abstractNumId w:val="5"/>
  </w:num>
  <w:num w:numId="31">
    <w:abstractNumId w:val="10"/>
  </w:num>
  <w:num w:numId="32">
    <w:abstractNumId w:val="14"/>
  </w:num>
  <w:num w:numId="33">
    <w:abstractNumId w:val="21"/>
  </w:num>
  <w:num w:numId="34">
    <w:abstractNumId w:val="14"/>
    <w:lvlOverride w:ilvl="0">
      <w:startOverride w:val="3"/>
    </w:lvlOverride>
  </w:num>
  <w:num w:numId="35">
    <w:abstractNumId w:val="23"/>
  </w:num>
  <w:num w:numId="36">
    <w:abstractNumId w:val="33"/>
  </w:num>
  <w:num w:numId="37">
    <w:abstractNumId w:val="33"/>
    <w:lvlOverride w:ilvl="0">
      <w:startOverride w:val="3"/>
    </w:lvlOverride>
  </w:num>
  <w:num w:numId="38">
    <w:abstractNumId w:val="1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y, Kate">
    <w15:presenceInfo w15:providerId="AD" w15:userId="S-1-5-21-1236110383-577450606-326763393-7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6"/>
    <w:rsid w:val="000122E3"/>
    <w:rsid w:val="00024A3F"/>
    <w:rsid w:val="000262F8"/>
    <w:rsid w:val="00027046"/>
    <w:rsid w:val="00042EE0"/>
    <w:rsid w:val="00062404"/>
    <w:rsid w:val="00081B6A"/>
    <w:rsid w:val="00094DB6"/>
    <w:rsid w:val="000A625D"/>
    <w:rsid w:val="000A626B"/>
    <w:rsid w:val="000B6690"/>
    <w:rsid w:val="000B67A7"/>
    <w:rsid w:val="000C5541"/>
    <w:rsid w:val="000C6C25"/>
    <w:rsid w:val="000D34B2"/>
    <w:rsid w:val="000D6275"/>
    <w:rsid w:val="000D6737"/>
    <w:rsid w:val="000E0108"/>
    <w:rsid w:val="000E5606"/>
    <w:rsid w:val="00104EDE"/>
    <w:rsid w:val="00122B08"/>
    <w:rsid w:val="00124CB0"/>
    <w:rsid w:val="00144D78"/>
    <w:rsid w:val="001472E3"/>
    <w:rsid w:val="001509FB"/>
    <w:rsid w:val="001511A2"/>
    <w:rsid w:val="00152226"/>
    <w:rsid w:val="0017401B"/>
    <w:rsid w:val="00183DBE"/>
    <w:rsid w:val="001909B7"/>
    <w:rsid w:val="001A26BD"/>
    <w:rsid w:val="001A56E6"/>
    <w:rsid w:val="001B6DB2"/>
    <w:rsid w:val="001C2B3E"/>
    <w:rsid w:val="00211FD5"/>
    <w:rsid w:val="002134F8"/>
    <w:rsid w:val="0022187C"/>
    <w:rsid w:val="00241CC9"/>
    <w:rsid w:val="00246004"/>
    <w:rsid w:val="00250F0E"/>
    <w:rsid w:val="00251818"/>
    <w:rsid w:val="002546B5"/>
    <w:rsid w:val="002622FE"/>
    <w:rsid w:val="00266F51"/>
    <w:rsid w:val="00292B93"/>
    <w:rsid w:val="002A5BDB"/>
    <w:rsid w:val="002A6F1B"/>
    <w:rsid w:val="002B195D"/>
    <w:rsid w:val="002B687A"/>
    <w:rsid w:val="002C421A"/>
    <w:rsid w:val="002C63EC"/>
    <w:rsid w:val="002D0F71"/>
    <w:rsid w:val="00302FBB"/>
    <w:rsid w:val="00306FAE"/>
    <w:rsid w:val="00311D6C"/>
    <w:rsid w:val="00317528"/>
    <w:rsid w:val="00326DCD"/>
    <w:rsid w:val="00326E0E"/>
    <w:rsid w:val="00340CB7"/>
    <w:rsid w:val="00345FFA"/>
    <w:rsid w:val="00352118"/>
    <w:rsid w:val="00360EE0"/>
    <w:rsid w:val="003730DB"/>
    <w:rsid w:val="00376C7A"/>
    <w:rsid w:val="00377087"/>
    <w:rsid w:val="003824D4"/>
    <w:rsid w:val="003829FE"/>
    <w:rsid w:val="00386CEB"/>
    <w:rsid w:val="0039054F"/>
    <w:rsid w:val="003C27D0"/>
    <w:rsid w:val="003C66F2"/>
    <w:rsid w:val="003D1860"/>
    <w:rsid w:val="003D3E5D"/>
    <w:rsid w:val="003E63C1"/>
    <w:rsid w:val="004031C9"/>
    <w:rsid w:val="00415544"/>
    <w:rsid w:val="00424D40"/>
    <w:rsid w:val="004331D7"/>
    <w:rsid w:val="004347E3"/>
    <w:rsid w:val="00444245"/>
    <w:rsid w:val="00464E4C"/>
    <w:rsid w:val="0047025A"/>
    <w:rsid w:val="00474392"/>
    <w:rsid w:val="00475CA9"/>
    <w:rsid w:val="00480875"/>
    <w:rsid w:val="00491B6C"/>
    <w:rsid w:val="004B2B70"/>
    <w:rsid w:val="004D7A42"/>
    <w:rsid w:val="00505322"/>
    <w:rsid w:val="00524446"/>
    <w:rsid w:val="0053053F"/>
    <w:rsid w:val="00530C0C"/>
    <w:rsid w:val="005503E0"/>
    <w:rsid w:val="005511CB"/>
    <w:rsid w:val="005711B8"/>
    <w:rsid w:val="005911C2"/>
    <w:rsid w:val="005A2C25"/>
    <w:rsid w:val="005A4E67"/>
    <w:rsid w:val="005B303A"/>
    <w:rsid w:val="005B3DB2"/>
    <w:rsid w:val="005D2445"/>
    <w:rsid w:val="005E1525"/>
    <w:rsid w:val="005E67A2"/>
    <w:rsid w:val="00600769"/>
    <w:rsid w:val="00602D90"/>
    <w:rsid w:val="00605DF4"/>
    <w:rsid w:val="0063238C"/>
    <w:rsid w:val="0063371B"/>
    <w:rsid w:val="0063570C"/>
    <w:rsid w:val="00651F95"/>
    <w:rsid w:val="0067076B"/>
    <w:rsid w:val="00671A1B"/>
    <w:rsid w:val="0067699C"/>
    <w:rsid w:val="00686BC8"/>
    <w:rsid w:val="00686FF7"/>
    <w:rsid w:val="006944FA"/>
    <w:rsid w:val="006A0DF7"/>
    <w:rsid w:val="006E4FE9"/>
    <w:rsid w:val="006F37C1"/>
    <w:rsid w:val="00725944"/>
    <w:rsid w:val="0073071C"/>
    <w:rsid w:val="007329C7"/>
    <w:rsid w:val="007374D9"/>
    <w:rsid w:val="0075205E"/>
    <w:rsid w:val="007554D7"/>
    <w:rsid w:val="00760EF4"/>
    <w:rsid w:val="0076270F"/>
    <w:rsid w:val="00775C9A"/>
    <w:rsid w:val="0078324E"/>
    <w:rsid w:val="007863EC"/>
    <w:rsid w:val="00787905"/>
    <w:rsid w:val="00787F75"/>
    <w:rsid w:val="0079707E"/>
    <w:rsid w:val="007C1AAA"/>
    <w:rsid w:val="007C649D"/>
    <w:rsid w:val="007E2BC7"/>
    <w:rsid w:val="007E6149"/>
    <w:rsid w:val="00807E7C"/>
    <w:rsid w:val="00817AA6"/>
    <w:rsid w:val="00851A60"/>
    <w:rsid w:val="00863EBD"/>
    <w:rsid w:val="008756F8"/>
    <w:rsid w:val="00887251"/>
    <w:rsid w:val="00891E45"/>
    <w:rsid w:val="008A1A2F"/>
    <w:rsid w:val="008A45CC"/>
    <w:rsid w:val="008E0F3F"/>
    <w:rsid w:val="00902CB2"/>
    <w:rsid w:val="00912F21"/>
    <w:rsid w:val="00926D0D"/>
    <w:rsid w:val="00926F69"/>
    <w:rsid w:val="00927615"/>
    <w:rsid w:val="00930D1C"/>
    <w:rsid w:val="00937754"/>
    <w:rsid w:val="0094445A"/>
    <w:rsid w:val="00951EC6"/>
    <w:rsid w:val="0095729A"/>
    <w:rsid w:val="009755AF"/>
    <w:rsid w:val="00992E9C"/>
    <w:rsid w:val="009A539A"/>
    <w:rsid w:val="009A65F6"/>
    <w:rsid w:val="009B5623"/>
    <w:rsid w:val="00A03E8A"/>
    <w:rsid w:val="00A040A3"/>
    <w:rsid w:val="00A1553C"/>
    <w:rsid w:val="00A17CA9"/>
    <w:rsid w:val="00A22223"/>
    <w:rsid w:val="00A26B68"/>
    <w:rsid w:val="00A30687"/>
    <w:rsid w:val="00A35513"/>
    <w:rsid w:val="00A56B70"/>
    <w:rsid w:val="00A61D9F"/>
    <w:rsid w:val="00A621F1"/>
    <w:rsid w:val="00A64E3F"/>
    <w:rsid w:val="00A674BF"/>
    <w:rsid w:val="00A8094B"/>
    <w:rsid w:val="00A868D3"/>
    <w:rsid w:val="00AA79A9"/>
    <w:rsid w:val="00AB06A9"/>
    <w:rsid w:val="00AB44D2"/>
    <w:rsid w:val="00AD133A"/>
    <w:rsid w:val="00AE3EBE"/>
    <w:rsid w:val="00B00A24"/>
    <w:rsid w:val="00B252AF"/>
    <w:rsid w:val="00B27A6A"/>
    <w:rsid w:val="00B44E1F"/>
    <w:rsid w:val="00B51278"/>
    <w:rsid w:val="00B60566"/>
    <w:rsid w:val="00B60DD6"/>
    <w:rsid w:val="00B97C9A"/>
    <w:rsid w:val="00BA762E"/>
    <w:rsid w:val="00BB6310"/>
    <w:rsid w:val="00BB65C1"/>
    <w:rsid w:val="00BC02B8"/>
    <w:rsid w:val="00BC459C"/>
    <w:rsid w:val="00BD5619"/>
    <w:rsid w:val="00BF69EB"/>
    <w:rsid w:val="00C0623C"/>
    <w:rsid w:val="00C13173"/>
    <w:rsid w:val="00C43437"/>
    <w:rsid w:val="00C458C8"/>
    <w:rsid w:val="00C47F95"/>
    <w:rsid w:val="00C636F2"/>
    <w:rsid w:val="00C64FC1"/>
    <w:rsid w:val="00C67355"/>
    <w:rsid w:val="00C7633F"/>
    <w:rsid w:val="00C90B9D"/>
    <w:rsid w:val="00C94364"/>
    <w:rsid w:val="00CB3D96"/>
    <w:rsid w:val="00CD2FA2"/>
    <w:rsid w:val="00CD6A80"/>
    <w:rsid w:val="00CF430F"/>
    <w:rsid w:val="00D01A19"/>
    <w:rsid w:val="00D04B47"/>
    <w:rsid w:val="00D04E03"/>
    <w:rsid w:val="00D07650"/>
    <w:rsid w:val="00D07BF8"/>
    <w:rsid w:val="00D15E3A"/>
    <w:rsid w:val="00D26E74"/>
    <w:rsid w:val="00D47C84"/>
    <w:rsid w:val="00D716F7"/>
    <w:rsid w:val="00D75E1F"/>
    <w:rsid w:val="00D76D7D"/>
    <w:rsid w:val="00D86739"/>
    <w:rsid w:val="00DA60FA"/>
    <w:rsid w:val="00DB2720"/>
    <w:rsid w:val="00DB484D"/>
    <w:rsid w:val="00DB522F"/>
    <w:rsid w:val="00DB73C9"/>
    <w:rsid w:val="00DC72E9"/>
    <w:rsid w:val="00DC7E06"/>
    <w:rsid w:val="00E22B47"/>
    <w:rsid w:val="00E307DC"/>
    <w:rsid w:val="00E43786"/>
    <w:rsid w:val="00E550CD"/>
    <w:rsid w:val="00E55510"/>
    <w:rsid w:val="00E73138"/>
    <w:rsid w:val="00E752DA"/>
    <w:rsid w:val="00E860F1"/>
    <w:rsid w:val="00EB16B5"/>
    <w:rsid w:val="00EB1A56"/>
    <w:rsid w:val="00EB511C"/>
    <w:rsid w:val="00EC046E"/>
    <w:rsid w:val="00EC13C3"/>
    <w:rsid w:val="00EC24F9"/>
    <w:rsid w:val="00EF41AE"/>
    <w:rsid w:val="00EF55F4"/>
    <w:rsid w:val="00EF7608"/>
    <w:rsid w:val="00F07378"/>
    <w:rsid w:val="00F10641"/>
    <w:rsid w:val="00F10B9D"/>
    <w:rsid w:val="00F130ED"/>
    <w:rsid w:val="00F301DC"/>
    <w:rsid w:val="00F3257D"/>
    <w:rsid w:val="00F32CF9"/>
    <w:rsid w:val="00F52595"/>
    <w:rsid w:val="00F53DFC"/>
    <w:rsid w:val="00F67F03"/>
    <w:rsid w:val="00F74A7F"/>
    <w:rsid w:val="00F80A46"/>
    <w:rsid w:val="00F830CA"/>
    <w:rsid w:val="00F93FCD"/>
    <w:rsid w:val="00FA0A62"/>
    <w:rsid w:val="00FB0D02"/>
    <w:rsid w:val="00FB6A9E"/>
    <w:rsid w:val="00FD16E2"/>
    <w:rsid w:val="00FD196D"/>
    <w:rsid w:val="00FD291C"/>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E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aliases w:val="ABET-1"/>
    <w:basedOn w:val="Normal"/>
    <w:next w:val="Normal"/>
    <w:link w:val="Heading1Char"/>
    <w:uiPriority w:val="9"/>
    <w:qFormat/>
    <w:rsid w:val="00251818"/>
    <w:pPr>
      <w:outlineLvl w:val="0"/>
    </w:pPr>
    <w:rPr>
      <w:b/>
      <w:bCs/>
      <w:iCs/>
      <w:color w:val="000000" w:themeColor="text1"/>
      <w:sz w:val="28"/>
      <w:szCs w:val="28"/>
    </w:rPr>
  </w:style>
  <w:style w:type="paragraph" w:styleId="Heading2">
    <w:name w:val="heading 2"/>
    <w:aliases w:val="ABET-2"/>
    <w:basedOn w:val="Heading1"/>
    <w:next w:val="Normal"/>
    <w:link w:val="Heading2Char"/>
    <w:uiPriority w:val="9"/>
    <w:unhideWhenUsed/>
    <w:qFormat/>
    <w:rsid w:val="00251818"/>
    <w:pPr>
      <w:numPr>
        <w:numId w:val="38"/>
      </w:numPr>
      <w:ind w:left="360"/>
      <w:outlineLvl w:val="1"/>
    </w:pPr>
    <w:rPr>
      <w:sz w:val="24"/>
      <w:szCs w:val="24"/>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ET-1 Char"/>
    <w:link w:val="Heading1"/>
    <w:uiPriority w:val="9"/>
    <w:rsid w:val="00251818"/>
    <w:rPr>
      <w:b/>
      <w:bCs/>
      <w:iCs/>
      <w:color w:val="000000" w:themeColor="text1"/>
      <w:sz w:val="28"/>
      <w:szCs w:val="28"/>
    </w:rPr>
  </w:style>
  <w:style w:type="character" w:customStyle="1" w:styleId="Heading2Char">
    <w:name w:val="Heading 2 Char"/>
    <w:aliases w:val="ABET-2 Char"/>
    <w:link w:val="Heading2"/>
    <w:uiPriority w:val="9"/>
    <w:rsid w:val="00251818"/>
    <w:rPr>
      <w:b/>
      <w:bCs/>
      <w:iCs/>
      <w:color w:val="000000" w:themeColor="text1"/>
      <w:sz w:val="24"/>
      <w:szCs w:val="24"/>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widowControl w:val="0"/>
      <w:tabs>
        <w:tab w:val="left" w:pos="540"/>
      </w:tabs>
      <w:spacing w:after="120"/>
      <w:jc w:val="center"/>
      <w:outlineLvl w:val="1"/>
    </w:pPr>
    <w:rPr>
      <w:rFonts w:eastAsia="Arial Unicode MS"/>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ETsmalllettertab">
    <w:name w:val="ABET small letter tab"/>
    <w:basedOn w:val="Normal"/>
    <w:rsid w:val="00FB0D02"/>
    <w:pPr>
      <w:tabs>
        <w:tab w:val="num" w:pos="360"/>
      </w:tabs>
    </w:pPr>
    <w:rPr>
      <w:rFonts w:eastAsia="Arial Unicode MS"/>
      <w:sz w:val="20"/>
    </w:rPr>
  </w:style>
  <w:style w:type="paragraph" w:customStyle="1" w:styleId="ABETBody">
    <w:name w:val="ABET Body"/>
    <w:basedOn w:val="Normal"/>
    <w:link w:val="ABETBodyChar"/>
    <w:rsid w:val="00B44E1F"/>
    <w:rPr>
      <w:rFonts w:eastAsia="Arial Unicode MS"/>
      <w:color w:val="000000"/>
      <w:kern w:val="2"/>
      <w:sz w:val="20"/>
      <w:szCs w:val="20"/>
    </w:rPr>
  </w:style>
  <w:style w:type="character" w:customStyle="1" w:styleId="ABETBodyChar">
    <w:name w:val="ABET Body Char"/>
    <w:link w:val="ABETBody"/>
    <w:rsid w:val="00B44E1F"/>
    <w:rPr>
      <w:rFonts w:eastAsia="Arial Unicode MS"/>
      <w:color w:val="000000"/>
      <w:kern w:val="2"/>
    </w:rPr>
  </w:style>
  <w:style w:type="paragraph" w:customStyle="1" w:styleId="ABETHeader">
    <w:name w:val="ABET Header"/>
    <w:basedOn w:val="ABETBody"/>
    <w:rsid w:val="00B44E1F"/>
    <w:pPr>
      <w:spacing w:after="240"/>
    </w:pPr>
    <w:rPr>
      <w:sz w:val="16"/>
    </w:rPr>
  </w:style>
  <w:style w:type="paragraph" w:customStyle="1" w:styleId="ABETFootr">
    <w:name w:val="ABET Footr"/>
    <w:basedOn w:val="ABETBody"/>
    <w:rsid w:val="00B44E1F"/>
    <w:pPr>
      <w:jc w:val="center"/>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BD"/>
    <w:rPr>
      <w:sz w:val="24"/>
      <w:szCs w:val="24"/>
    </w:rPr>
  </w:style>
  <w:style w:type="paragraph" w:styleId="Heading1">
    <w:name w:val="heading 1"/>
    <w:aliases w:val="ABET-1"/>
    <w:basedOn w:val="Normal"/>
    <w:next w:val="Normal"/>
    <w:link w:val="Heading1Char"/>
    <w:uiPriority w:val="9"/>
    <w:qFormat/>
    <w:rsid w:val="00251818"/>
    <w:pPr>
      <w:outlineLvl w:val="0"/>
    </w:pPr>
    <w:rPr>
      <w:b/>
      <w:bCs/>
      <w:iCs/>
      <w:color w:val="000000" w:themeColor="text1"/>
      <w:sz w:val="28"/>
      <w:szCs w:val="28"/>
    </w:rPr>
  </w:style>
  <w:style w:type="paragraph" w:styleId="Heading2">
    <w:name w:val="heading 2"/>
    <w:aliases w:val="ABET-2"/>
    <w:basedOn w:val="Heading1"/>
    <w:next w:val="Normal"/>
    <w:link w:val="Heading2Char"/>
    <w:uiPriority w:val="9"/>
    <w:unhideWhenUsed/>
    <w:qFormat/>
    <w:rsid w:val="00251818"/>
    <w:pPr>
      <w:numPr>
        <w:numId w:val="38"/>
      </w:numPr>
      <w:ind w:left="360"/>
      <w:outlineLvl w:val="1"/>
    </w:pPr>
    <w:rPr>
      <w:sz w:val="24"/>
      <w:szCs w:val="24"/>
    </w:rPr>
  </w:style>
  <w:style w:type="paragraph" w:styleId="Heading3">
    <w:name w:val="heading 3"/>
    <w:basedOn w:val="Normal"/>
    <w:next w:val="Normal"/>
    <w:link w:val="Heading3Char"/>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ET-1 Char"/>
    <w:link w:val="Heading1"/>
    <w:uiPriority w:val="9"/>
    <w:rsid w:val="00251818"/>
    <w:rPr>
      <w:b/>
      <w:bCs/>
      <w:iCs/>
      <w:color w:val="000000" w:themeColor="text1"/>
      <w:sz w:val="28"/>
      <w:szCs w:val="28"/>
    </w:rPr>
  </w:style>
  <w:style w:type="character" w:customStyle="1" w:styleId="Heading2Char">
    <w:name w:val="Heading 2 Char"/>
    <w:aliases w:val="ABET-2 Char"/>
    <w:link w:val="Heading2"/>
    <w:uiPriority w:val="9"/>
    <w:rsid w:val="00251818"/>
    <w:rPr>
      <w:b/>
      <w:bCs/>
      <w:iCs/>
      <w:color w:val="000000" w:themeColor="text1"/>
      <w:sz w:val="24"/>
      <w:szCs w:val="24"/>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rsid w:val="003C66F2"/>
    <w:rPr>
      <w:color w:val="0000FF"/>
      <w:u w:val="single"/>
    </w:rPr>
  </w:style>
  <w:style w:type="paragraph" w:styleId="Header">
    <w:name w:val="header"/>
    <w:basedOn w:val="Normal"/>
    <w:link w:val="HeaderChar"/>
    <w:rsid w:val="003C66F2"/>
    <w:pPr>
      <w:tabs>
        <w:tab w:val="center" w:pos="4320"/>
        <w:tab w:val="right" w:pos="8640"/>
      </w:tabs>
    </w:pPr>
  </w:style>
  <w:style w:type="character" w:customStyle="1" w:styleId="HeaderChar">
    <w:name w:val="Header Char"/>
    <w:link w:val="Header"/>
    <w:rsid w:val="00A17CA9"/>
    <w:rPr>
      <w:sz w:val="24"/>
      <w:szCs w:val="24"/>
    </w:rPr>
  </w:style>
  <w:style w:type="paragraph" w:styleId="Footer">
    <w:name w:val="footer"/>
    <w:basedOn w:val="Normal"/>
    <w:link w:val="FooterChar"/>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widowControl w:val="0"/>
      <w:tabs>
        <w:tab w:val="left" w:pos="540"/>
      </w:tabs>
      <w:spacing w:after="120"/>
      <w:jc w:val="center"/>
      <w:outlineLvl w:val="1"/>
    </w:pPr>
    <w:rPr>
      <w:rFonts w:eastAsia="Arial Unicode MS"/>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ETsmalllettertab">
    <w:name w:val="ABET small letter tab"/>
    <w:basedOn w:val="Normal"/>
    <w:rsid w:val="00FB0D02"/>
    <w:pPr>
      <w:tabs>
        <w:tab w:val="num" w:pos="360"/>
      </w:tabs>
    </w:pPr>
    <w:rPr>
      <w:rFonts w:eastAsia="Arial Unicode MS"/>
      <w:sz w:val="20"/>
    </w:rPr>
  </w:style>
  <w:style w:type="paragraph" w:customStyle="1" w:styleId="ABETBody">
    <w:name w:val="ABET Body"/>
    <w:basedOn w:val="Normal"/>
    <w:link w:val="ABETBodyChar"/>
    <w:rsid w:val="00B44E1F"/>
    <w:rPr>
      <w:rFonts w:eastAsia="Arial Unicode MS"/>
      <w:color w:val="000000"/>
      <w:kern w:val="2"/>
      <w:sz w:val="20"/>
      <w:szCs w:val="20"/>
    </w:rPr>
  </w:style>
  <w:style w:type="character" w:customStyle="1" w:styleId="ABETBodyChar">
    <w:name w:val="ABET Body Char"/>
    <w:link w:val="ABETBody"/>
    <w:rsid w:val="00B44E1F"/>
    <w:rPr>
      <w:rFonts w:eastAsia="Arial Unicode MS"/>
      <w:color w:val="000000"/>
      <w:kern w:val="2"/>
    </w:rPr>
  </w:style>
  <w:style w:type="paragraph" w:customStyle="1" w:styleId="ABETHeader">
    <w:name w:val="ABET Header"/>
    <w:basedOn w:val="ABETBody"/>
    <w:rsid w:val="00B44E1F"/>
    <w:pPr>
      <w:spacing w:after="240"/>
    </w:pPr>
    <w:rPr>
      <w:sz w:val="16"/>
    </w:rPr>
  </w:style>
  <w:style w:type="paragraph" w:customStyle="1" w:styleId="ABETFootr">
    <w:name w:val="ABET Footr"/>
    <w:basedOn w:val="ABETBody"/>
    <w:rsid w:val="00B44E1F"/>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3535">
      <w:bodyDiv w:val="1"/>
      <w:marLeft w:val="0"/>
      <w:marRight w:val="0"/>
      <w:marTop w:val="0"/>
      <w:marBottom w:val="0"/>
      <w:divBdr>
        <w:top w:val="none" w:sz="0" w:space="0" w:color="auto"/>
        <w:left w:val="none" w:sz="0" w:space="0" w:color="auto"/>
        <w:bottom w:val="none" w:sz="0" w:space="0" w:color="auto"/>
        <w:right w:val="none" w:sz="0" w:space="0" w:color="auto"/>
      </w:divBdr>
    </w:div>
    <w:div w:id="10291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BETMetEng.org/SD"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5ADB-8D2B-481C-AA68-C1185AEA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6934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Howard, Stanley M.</cp:lastModifiedBy>
  <cp:revision>20</cp:revision>
  <cp:lastPrinted>2016-06-28T18:12:00Z</cp:lastPrinted>
  <dcterms:created xsi:type="dcterms:W3CDTF">2016-06-24T19:11:00Z</dcterms:created>
  <dcterms:modified xsi:type="dcterms:W3CDTF">2016-07-06T18:20:00Z</dcterms:modified>
</cp:coreProperties>
</file>