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8" w:rsidRDefault="001F40A8" w:rsidP="00A81234">
      <w:pPr>
        <w:pStyle w:val="Heading1"/>
        <w:spacing w:before="0"/>
        <w:rPr>
          <w:rFonts w:ascii="Egyptienne F LT Std" w:hAnsi="Egyptienne F LT Std"/>
          <w:color w:val="000000" w:themeColor="text1"/>
        </w:rPr>
      </w:pPr>
      <w:bookmarkStart w:id="0" w:name="_Toc268163186"/>
    </w:p>
    <w:p w:rsidR="001C2CE9" w:rsidRPr="00A81234" w:rsidRDefault="001C2CE9" w:rsidP="00A81234">
      <w:pPr>
        <w:pStyle w:val="Heading1"/>
        <w:spacing w:before="0"/>
        <w:rPr>
          <w:rFonts w:ascii="Egyptienne F LT Std" w:hAnsi="Egyptienne F LT Std"/>
          <w:color w:val="000000" w:themeColor="text1"/>
        </w:rPr>
      </w:pPr>
      <w:r w:rsidRPr="00A81234">
        <w:rPr>
          <w:rFonts w:ascii="Egyptienne F LT Std" w:hAnsi="Egyptienne F LT Std"/>
          <w:color w:val="000000" w:themeColor="text1"/>
        </w:rPr>
        <w:t>Appendix C – Equipment</w:t>
      </w:r>
      <w:bookmarkEnd w:id="0"/>
    </w:p>
    <w:p w:rsidR="001C2CE9" w:rsidRPr="00FA0A62" w:rsidRDefault="001C2CE9" w:rsidP="00A81234">
      <w:pPr>
        <w:tabs>
          <w:tab w:val="left" w:pos="0"/>
        </w:tabs>
        <w:rPr>
          <w:rFonts w:ascii="Egyptienne F LT Std" w:hAnsi="Egyptienne F LT Std"/>
        </w:rPr>
      </w:pPr>
    </w:p>
    <w:p w:rsidR="003905C4" w:rsidRDefault="003905C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approach to leverage research and private funding, the department has been successful to supplement limited state support for new equipment.  </w:t>
      </w:r>
      <w:r w:rsidR="001C2CE9" w:rsidRPr="001F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C2CE9" w:rsidRPr="001F40A8">
        <w:rPr>
          <w:rFonts w:ascii="Times New Roman" w:hAnsi="Times New Roman" w:cs="Times New Roman"/>
          <w:sz w:val="24"/>
          <w:szCs w:val="24"/>
        </w:rPr>
        <w:t>ajor pieces of equipment used by the pr</w:t>
      </w:r>
      <w:r w:rsidR="00A81234" w:rsidRPr="001F40A8">
        <w:rPr>
          <w:rFonts w:ascii="Times New Roman" w:hAnsi="Times New Roman" w:cs="Times New Roman"/>
          <w:sz w:val="24"/>
          <w:szCs w:val="24"/>
        </w:rPr>
        <w:t>ogram</w:t>
      </w:r>
      <w:r w:rsidR="001F40A8">
        <w:rPr>
          <w:rFonts w:ascii="Times New Roman" w:hAnsi="Times New Roman" w:cs="Times New Roman"/>
          <w:sz w:val="24"/>
          <w:szCs w:val="24"/>
        </w:rPr>
        <w:t xml:space="preserve"> </w:t>
      </w:r>
      <w:r w:rsidR="00A81234" w:rsidRPr="001F40A8">
        <w:rPr>
          <w:rFonts w:ascii="Times New Roman" w:hAnsi="Times New Roman" w:cs="Times New Roman"/>
          <w:sz w:val="24"/>
          <w:szCs w:val="24"/>
        </w:rPr>
        <w:t xml:space="preserve">in support of instruction </w:t>
      </w:r>
      <w:r w:rsidR="001F40A8">
        <w:rPr>
          <w:rFonts w:ascii="Times New Roman" w:hAnsi="Times New Roman" w:cs="Times New Roman"/>
          <w:sz w:val="24"/>
          <w:szCs w:val="24"/>
        </w:rPr>
        <w:t xml:space="preserve">acquired </w:t>
      </w:r>
      <w:r w:rsidR="00E117EE">
        <w:rPr>
          <w:rFonts w:ascii="Times New Roman" w:hAnsi="Times New Roman" w:cs="Times New Roman"/>
          <w:sz w:val="24"/>
          <w:szCs w:val="24"/>
        </w:rPr>
        <w:t>since the last review (acquired since 2010) are</w:t>
      </w:r>
      <w:r w:rsidR="00A81234" w:rsidRPr="001F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summarized</w:t>
      </w:r>
      <w:r w:rsidR="00A81234" w:rsidRPr="001F40A8">
        <w:rPr>
          <w:rFonts w:ascii="Times New Roman" w:hAnsi="Times New Roman" w:cs="Times New Roman"/>
          <w:sz w:val="24"/>
          <w:szCs w:val="24"/>
        </w:rPr>
        <w:t xml:space="preserve"> in Table C-1.</w:t>
      </w:r>
      <w:r w:rsidR="001F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Highlights include the following.</w:t>
      </w:r>
    </w:p>
    <w:p w:rsidR="003905C4" w:rsidRDefault="003905C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905C4" w:rsidRPr="00177B70" w:rsidRDefault="003905C4" w:rsidP="00177B7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77B70">
        <w:rPr>
          <w:rFonts w:ascii="Times New Roman" w:hAnsi="Times New Roman" w:cs="Times New Roman"/>
          <w:sz w:val="24"/>
          <w:szCs w:val="24"/>
        </w:rPr>
        <w:t xml:space="preserve">3D X-ray </w:t>
      </w:r>
      <w:proofErr w:type="spellStart"/>
      <w:r w:rsidRPr="00177B70">
        <w:rPr>
          <w:rFonts w:ascii="Times New Roman" w:hAnsi="Times New Roman" w:cs="Times New Roman"/>
          <w:sz w:val="24"/>
          <w:szCs w:val="24"/>
        </w:rPr>
        <w:t>MicroCT</w:t>
      </w:r>
      <w:proofErr w:type="spellEnd"/>
      <w:r w:rsidRPr="00177B70">
        <w:rPr>
          <w:rFonts w:ascii="Times New Roman" w:hAnsi="Times New Roman" w:cs="Times New Roman"/>
          <w:sz w:val="24"/>
          <w:szCs w:val="24"/>
        </w:rPr>
        <w:t xml:space="preserve"> system (NSF MRI proposal)</w:t>
      </w:r>
    </w:p>
    <w:p w:rsidR="00177B70" w:rsidRPr="00177B70" w:rsidRDefault="003905C4" w:rsidP="00177B7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77B70">
        <w:rPr>
          <w:rFonts w:ascii="Times New Roman" w:hAnsi="Times New Roman" w:cs="Times New Roman"/>
          <w:sz w:val="24"/>
          <w:szCs w:val="24"/>
        </w:rPr>
        <w:t>Potentiostat, autoclave, and thermogravimetric analyzer (</w:t>
      </w:r>
      <w:r w:rsidR="00177B70">
        <w:rPr>
          <w:rFonts w:ascii="Times New Roman" w:hAnsi="Times New Roman" w:cs="Times New Roman"/>
          <w:sz w:val="24"/>
          <w:szCs w:val="24"/>
        </w:rPr>
        <w:t xml:space="preserve">grants </w:t>
      </w:r>
      <w:r w:rsidR="008002C5">
        <w:rPr>
          <w:rFonts w:ascii="Times New Roman" w:hAnsi="Times New Roman" w:cs="Times New Roman"/>
          <w:sz w:val="24"/>
          <w:szCs w:val="24"/>
        </w:rPr>
        <w:t xml:space="preserve">for </w:t>
      </w:r>
      <w:r w:rsidRPr="00177B70">
        <w:rPr>
          <w:rFonts w:ascii="Times New Roman" w:hAnsi="Times New Roman" w:cs="Times New Roman"/>
          <w:sz w:val="24"/>
          <w:szCs w:val="24"/>
        </w:rPr>
        <w:t>critical minerals extraction)</w:t>
      </w:r>
    </w:p>
    <w:p w:rsidR="00177B70" w:rsidRPr="00177B70" w:rsidRDefault="00177B70" w:rsidP="00177B7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77B70">
        <w:rPr>
          <w:rFonts w:ascii="Times New Roman" w:hAnsi="Times New Roman" w:cs="Times New Roman"/>
          <w:sz w:val="24"/>
          <w:szCs w:val="24"/>
        </w:rPr>
        <w:t>Atomic force microscope upgrade (SD Board of Regents)</w:t>
      </w:r>
    </w:p>
    <w:p w:rsidR="00177B70" w:rsidRPr="00177B70" w:rsidRDefault="00177B70" w:rsidP="00177B7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77B70">
        <w:rPr>
          <w:rFonts w:ascii="Times New Roman" w:hAnsi="Times New Roman" w:cs="Times New Roman"/>
          <w:sz w:val="24"/>
          <w:szCs w:val="24"/>
        </w:rPr>
        <w:t>Grinder polishers and mounting press (</w:t>
      </w:r>
      <w:r w:rsidR="008002C5">
        <w:rPr>
          <w:rFonts w:ascii="Times New Roman" w:hAnsi="Times New Roman" w:cs="Times New Roman"/>
          <w:sz w:val="24"/>
          <w:szCs w:val="24"/>
        </w:rPr>
        <w:t>industry</w:t>
      </w:r>
      <w:r w:rsidRPr="00177B70">
        <w:rPr>
          <w:rFonts w:ascii="Times New Roman" w:hAnsi="Times New Roman" w:cs="Times New Roman"/>
          <w:sz w:val="24"/>
          <w:szCs w:val="24"/>
        </w:rPr>
        <w:t xml:space="preserve"> donation</w:t>
      </w:r>
      <w:r w:rsidR="008002C5">
        <w:rPr>
          <w:rFonts w:ascii="Times New Roman" w:hAnsi="Times New Roman" w:cs="Times New Roman"/>
          <w:sz w:val="24"/>
          <w:szCs w:val="24"/>
        </w:rPr>
        <w:t>s</w:t>
      </w:r>
      <w:r w:rsidRPr="00177B70">
        <w:rPr>
          <w:rFonts w:ascii="Times New Roman" w:hAnsi="Times New Roman" w:cs="Times New Roman"/>
          <w:sz w:val="24"/>
          <w:szCs w:val="24"/>
        </w:rPr>
        <w:t>)</w:t>
      </w:r>
    </w:p>
    <w:p w:rsidR="00177B70" w:rsidRDefault="00177B70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927E3" w:rsidRPr="001F40A8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equipment for the department acquired </w:t>
      </w:r>
      <w:r w:rsidR="00E117EE">
        <w:rPr>
          <w:rFonts w:ascii="Times New Roman" w:hAnsi="Times New Roman" w:cs="Times New Roman"/>
          <w:sz w:val="24"/>
          <w:szCs w:val="24"/>
        </w:rPr>
        <w:t>before 2010 is shown in Table C-2.</w:t>
      </w:r>
      <w:r w:rsidR="00FB35EE">
        <w:rPr>
          <w:rFonts w:ascii="Times New Roman" w:hAnsi="Times New Roman" w:cs="Times New Roman"/>
          <w:sz w:val="24"/>
          <w:szCs w:val="24"/>
        </w:rPr>
        <w:t xml:space="preserve">  The entire list of </w:t>
      </w:r>
      <w:r w:rsidR="001B426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FB35EE">
        <w:rPr>
          <w:rFonts w:ascii="Times New Roman" w:hAnsi="Times New Roman" w:cs="Times New Roman"/>
          <w:sz w:val="24"/>
          <w:szCs w:val="24"/>
        </w:rPr>
        <w:t>equipment is available on request.</w:t>
      </w:r>
      <w:r w:rsidR="003905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7E3" w:rsidRPr="001F40A8" w:rsidRDefault="005927E3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C2CE9" w:rsidRPr="001F40A8" w:rsidRDefault="00A8123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In addition to this equipment, the department has a</w:t>
      </w:r>
      <w:r w:rsidR="007402AB" w:rsidRPr="001F40A8">
        <w:rPr>
          <w:rFonts w:ascii="Times New Roman" w:hAnsi="Times New Roman" w:cs="Times New Roman"/>
          <w:sz w:val="24"/>
          <w:szCs w:val="24"/>
        </w:rPr>
        <w:t>c</w:t>
      </w:r>
      <w:r w:rsidRPr="001F40A8">
        <w:rPr>
          <w:rFonts w:ascii="Times New Roman" w:hAnsi="Times New Roman" w:cs="Times New Roman"/>
          <w:sz w:val="24"/>
          <w:szCs w:val="24"/>
        </w:rPr>
        <w:t>cess to and uses equipment located in the Arbegast Advanced Manufacturing Center.  This includes the following equipment:</w:t>
      </w:r>
    </w:p>
    <w:p w:rsidR="00A81234" w:rsidRDefault="009E5031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Five-a</w:t>
      </w:r>
      <w:r w:rsidR="0007405F" w:rsidRPr="001F40A8">
        <w:rPr>
          <w:rFonts w:ascii="Times New Roman" w:hAnsi="Times New Roman" w:cs="Times New Roman"/>
          <w:sz w:val="24"/>
          <w:szCs w:val="24"/>
        </w:rPr>
        <w:t xml:space="preserve">xis friction </w:t>
      </w:r>
      <w:r w:rsidR="00A81234" w:rsidRPr="001F40A8">
        <w:rPr>
          <w:rFonts w:ascii="Times New Roman" w:hAnsi="Times New Roman" w:cs="Times New Roman"/>
          <w:sz w:val="24"/>
          <w:szCs w:val="24"/>
        </w:rPr>
        <w:t>stir welder</w:t>
      </w:r>
    </w:p>
    <w:p w:rsidR="009E5031" w:rsidRPr="001F40A8" w:rsidRDefault="009E5031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testing systems 110 kip and 70 kip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Direct deposit laser deposition system with inert atmosphere and programmable 3-D position  2 kW YAG laser fitted with dual powder feeders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Ultrasonic welder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Cold Spray unit</w:t>
      </w:r>
      <w:r w:rsidR="009E5031">
        <w:rPr>
          <w:rFonts w:ascii="Times New Roman" w:hAnsi="Times New Roman" w:cs="Times New Roman"/>
          <w:sz w:val="24"/>
          <w:szCs w:val="24"/>
        </w:rPr>
        <w:t>s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Water jet cutter (10-x14-ft tank)</w:t>
      </w:r>
    </w:p>
    <w:p w:rsidR="00A81234" w:rsidRPr="001F40A8" w:rsidRDefault="00A8123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81234" w:rsidRPr="001F40A8" w:rsidRDefault="00A8123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 xml:space="preserve">The department also has equipment not listed on the inventory list in Table </w:t>
      </w:r>
      <w:r w:rsidR="00BE3244">
        <w:rPr>
          <w:rFonts w:ascii="Times New Roman" w:hAnsi="Times New Roman" w:cs="Times New Roman"/>
          <w:sz w:val="24"/>
          <w:szCs w:val="24"/>
        </w:rPr>
        <w:t>C</w:t>
      </w:r>
      <w:r w:rsidRPr="001F40A8">
        <w:rPr>
          <w:rFonts w:ascii="Times New Roman" w:hAnsi="Times New Roman" w:cs="Times New Roman"/>
          <w:sz w:val="24"/>
          <w:szCs w:val="24"/>
        </w:rPr>
        <w:t>-1 including: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Vacuum 30 kW induction melter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hAnsi="Times New Roman" w:cs="Times New Roman"/>
          <w:sz w:val="24"/>
          <w:szCs w:val="24"/>
        </w:rPr>
        <w:t>Ultra-purity Zone refiner (1 meter, induction heated, inert and hydrogen gas atmosphere</w:t>
      </w:r>
    </w:p>
    <w:p w:rsidR="00A81234" w:rsidRPr="001F40A8" w:rsidRDefault="00A81234" w:rsidP="00A8123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40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"/>
        </w:rPr>
        <w:t>Czochralski</w:t>
      </w:r>
      <w:r w:rsidRPr="001F40A8">
        <w:rPr>
          <w:rFonts w:ascii="Times New Roman" w:hAnsi="Times New Roman" w:cs="Times New Roman"/>
          <w:sz w:val="24"/>
          <w:szCs w:val="24"/>
        </w:rPr>
        <w:t xml:space="preserve">  Crystal grower ( 4-x4-in</w:t>
      </w:r>
      <w:r w:rsidR="001F40A8">
        <w:rPr>
          <w:rFonts w:ascii="Times New Roman" w:hAnsi="Times New Roman" w:cs="Times New Roman"/>
          <w:sz w:val="24"/>
          <w:szCs w:val="24"/>
        </w:rPr>
        <w:t>.</w:t>
      </w:r>
      <w:r w:rsidRPr="001F40A8">
        <w:rPr>
          <w:rFonts w:ascii="Times New Roman" w:hAnsi="Times New Roman" w:cs="Times New Roman"/>
          <w:sz w:val="24"/>
          <w:szCs w:val="24"/>
        </w:rPr>
        <w:t xml:space="preserve"> </w:t>
      </w:r>
      <w:r w:rsidR="005927E3" w:rsidRPr="001F40A8">
        <w:rPr>
          <w:rFonts w:ascii="Times New Roman" w:hAnsi="Times New Roman" w:cs="Times New Roman"/>
          <w:sz w:val="24"/>
          <w:szCs w:val="24"/>
        </w:rPr>
        <w:t xml:space="preserve">melt </w:t>
      </w:r>
      <w:r w:rsidRPr="001F40A8">
        <w:rPr>
          <w:rFonts w:ascii="Times New Roman" w:hAnsi="Times New Roman" w:cs="Times New Roman"/>
          <w:sz w:val="24"/>
          <w:szCs w:val="24"/>
        </w:rPr>
        <w:t>pool</w:t>
      </w:r>
      <w:r w:rsidR="005927E3" w:rsidRPr="001F40A8">
        <w:rPr>
          <w:rFonts w:ascii="Times New Roman" w:hAnsi="Times New Roman" w:cs="Times New Roman"/>
          <w:sz w:val="24"/>
          <w:szCs w:val="24"/>
        </w:rPr>
        <w:t>, 25 kW induction generator</w:t>
      </w:r>
      <w:r w:rsidRPr="001F40A8">
        <w:rPr>
          <w:rFonts w:ascii="Times New Roman" w:hAnsi="Times New Roman" w:cs="Times New Roman"/>
          <w:sz w:val="24"/>
          <w:szCs w:val="24"/>
        </w:rPr>
        <w:t>)</w:t>
      </w:r>
    </w:p>
    <w:p w:rsidR="00A81234" w:rsidRDefault="00A8123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239E4" w:rsidRDefault="002239E4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B35EE" w:rsidRPr="001F40A8" w:rsidRDefault="00FB35EE" w:rsidP="00A81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FB35EE" w:rsidRPr="001F40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230F" w:rsidRDefault="00E5230F"/>
    <w:tbl>
      <w:tblPr>
        <w:tblStyle w:val="TableGrid"/>
        <w:tblW w:w="112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1310"/>
        <w:gridCol w:w="1033"/>
        <w:gridCol w:w="1053"/>
        <w:gridCol w:w="1070"/>
      </w:tblGrid>
      <w:tr w:rsidR="00FB35EE" w:rsidRPr="009E5031" w:rsidTr="00E60C39">
        <w:trPr>
          <w:trHeight w:val="303"/>
        </w:trPr>
        <w:tc>
          <w:tcPr>
            <w:tcW w:w="1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B35EE" w:rsidRPr="009E5031" w:rsidRDefault="00FB35EE" w:rsidP="00FB3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C-1</w:t>
            </w: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Capital assets acquired since 2010</w:t>
            </w:r>
          </w:p>
        </w:tc>
      </w:tr>
      <w:tr w:rsidR="00FB35EE" w:rsidRPr="009E5031" w:rsidTr="00E60C39">
        <w:trPr>
          <w:trHeight w:val="325"/>
        </w:trPr>
        <w:tc>
          <w:tcPr>
            <w:tcW w:w="6818" w:type="dxa"/>
            <w:tcBorders>
              <w:top w:val="single" w:sz="4" w:space="0" w:color="auto"/>
            </w:tcBorders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Asset Description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Acq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Leco, PR-36 Electro-hydraulic mounting press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08/06/2015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8,662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11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Scientific, Still, 2 gph 120/208v 3ph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02/25/2015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6,358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Workstation, Na-Haworth Unigroup: 48"x 24”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10/03/2014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14,682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Millermatic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252, MIG Welders (2)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06/01/2014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 Electric Precision TIG 225 Welders (2)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06/01/2014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 Instruments, Thermogravimetric analyzer with Au, 953000.908-Q500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02/18/2014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42,670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Potentiostat/galvanostat/EIS analyzer, Parstat 4000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02/11/2014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46,647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Pressure reaction apparatus, 4531-t-625-m(</w:t>
            </w:r>
            <w:proofErr w:type="spellStart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),115v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02/10/2014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29,698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Sieving riffler, 02001-1-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01/27/2014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7,094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Bruker Multimode 8-Upgrade Atomic Force Microscope + accessories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01/10/2013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174,970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 spectral comparator, VSC-6000/HS </w:t>
            </w: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Foram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Raman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06/27/2012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178,083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Action Mining Services, M5 Micron Mill Wave Table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05/22/2012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3,977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Xradia, 3D X-ray tomography, MicroXCT-400, high-resolution, 1007548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05/11/2012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612,000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128C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Metaserv 250 twin grinder polisher, 4910057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07/28/2011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15,447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124 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QPEC #7 Flotation Cell</w:t>
            </w:r>
          </w:p>
        </w:tc>
        <w:tc>
          <w:tcPr>
            <w:tcW w:w="131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05/30/2011</w:t>
            </w:r>
          </w:p>
        </w:tc>
        <w:tc>
          <w:tcPr>
            <w:tcW w:w="1033" w:type="dxa"/>
            <w:noWrap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53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noWrap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 furnace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07/01/2010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6,470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Hydrogen palladium purifier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05/24/2010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5,503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FB35EE" w:rsidRPr="009E5031" w:rsidTr="00E60C39">
        <w:trPr>
          <w:trHeight w:val="303"/>
        </w:trPr>
        <w:tc>
          <w:tcPr>
            <w:tcW w:w="6818" w:type="dxa"/>
            <w:noWrap/>
            <w:hideMark/>
          </w:tcPr>
          <w:p w:rsidR="00FB35EE" w:rsidRPr="009E5031" w:rsidRDefault="00FB35EE" w:rsidP="00390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Eriesz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Magnetic separator</w:t>
            </w:r>
          </w:p>
        </w:tc>
        <w:tc>
          <w:tcPr>
            <w:tcW w:w="131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04/21/2010</w:t>
            </w:r>
          </w:p>
        </w:tc>
        <w:tc>
          <w:tcPr>
            <w:tcW w:w="1033" w:type="dxa"/>
            <w:noWrap/>
            <w:hideMark/>
          </w:tcPr>
          <w:p w:rsidR="00FB35EE" w:rsidRPr="009E5031" w:rsidRDefault="00FB35EE" w:rsidP="003905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13,181</w:t>
            </w:r>
          </w:p>
        </w:tc>
        <w:tc>
          <w:tcPr>
            <w:tcW w:w="1053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130A</w:t>
            </w:r>
          </w:p>
        </w:tc>
        <w:tc>
          <w:tcPr>
            <w:tcW w:w="1070" w:type="dxa"/>
            <w:noWrap/>
            <w:hideMark/>
          </w:tcPr>
          <w:p w:rsidR="00FB35EE" w:rsidRPr="009E5031" w:rsidRDefault="00FB35EE" w:rsidP="0039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</w:tbl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tbl>
      <w:tblPr>
        <w:tblW w:w="11363" w:type="dxa"/>
        <w:jc w:val="center"/>
        <w:tblLook w:val="04A0" w:firstRow="1" w:lastRow="0" w:firstColumn="1" w:lastColumn="0" w:noHBand="0" w:noVBand="1"/>
      </w:tblPr>
      <w:tblGrid>
        <w:gridCol w:w="23"/>
        <w:gridCol w:w="67"/>
        <w:gridCol w:w="6793"/>
        <w:gridCol w:w="1310"/>
        <w:gridCol w:w="1040"/>
        <w:gridCol w:w="1060"/>
        <w:gridCol w:w="1070"/>
      </w:tblGrid>
      <w:tr w:rsidR="009E5031" w:rsidRPr="009E5031" w:rsidTr="009E5031">
        <w:trPr>
          <w:gridBefore w:val="2"/>
          <w:wBefore w:w="90" w:type="dxa"/>
          <w:jc w:val="center"/>
        </w:trPr>
        <w:tc>
          <w:tcPr>
            <w:tcW w:w="1127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FB3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 w:rsidR="00FB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C-2</w:t>
            </w: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Capital assets acquired before 2010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Asset Description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Acq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coater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12/30/2009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Rame-Hart Model 500 Advanced Goniometer/tensiometer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08/13/2009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36,870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Micro-force test system, MTS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08/13/2009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129,902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Air hammer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12/08/2008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6,393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Tester, microhardness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05/14/2008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11,731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Image analysis system (microscope)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05/14/2008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124B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Action Mining Services, M5 Micron Mill Wave Table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05/22/2012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3,977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Grinder-polisher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04/28/2008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5,048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Abrasive cut-off saw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04/24/2008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5,978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Viscosity meter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12/18/2007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Prepregger, hot melt unidirectional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MTDL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Trailer, 8x20 tandem auto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Ellipsometer, discrete wavelength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05/07/2007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43,105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Electrometer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5,456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cleaner w/vacuum pump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01/17/2007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8,288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roll mill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01/12/2007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11,245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Wilhelmy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Plate Surface tension meter 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12/21/2006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30,968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Dimatix materials printer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07/14/2006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31,720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MTDL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Ultra-microtome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06/30/2006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34,193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MEP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Spin coater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06/27/2006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5,477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Bath cryostat system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06/14/2006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29,121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MEP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Impact tester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06/07/2005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Nicomp 380 submicron particle size analyzer w/zeta potential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53,182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Bohlin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Rheometer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06/15/2004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32,945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jc w:val="center"/>
        </w:trPr>
        <w:tc>
          <w:tcPr>
            <w:tcW w:w="11363" w:type="dxa"/>
            <w:gridSpan w:val="7"/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FB3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 w:rsidR="00FB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C-2</w:t>
            </w: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Capital assets acquired before 2010 (Cont’d)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Asset Description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Acq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Bath cryostat system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06/14/2006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29,121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MEP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Impact tester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06/07/2005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Nicomp 380 submicron particle size analyzer w/zeta potential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02/01/2005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53,182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TA Instruments Q400 Thermomechanical analyzer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10/23/2003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46,158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Hot disk base w/desktop computer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05/20/2003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62,000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Specimen mounting press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05/15/2003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8,979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TA Instruments Q100 Differential scanning calorimeter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04/15/2003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36,039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TA Instruments Q800 Dynamic mechanical analyzer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04/15/2003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51,683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MCM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Leco image analysis system (upgrade)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04/15/2003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15,597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124B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Microtrac Laser particle analyzer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02/13/2003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44,076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Manning Polymer modulator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11/21/2002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22,390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Rheometric Minature materials tester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08/31/1998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9,500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124B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Microscope, Olympus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06/29/1998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27,137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Flotation machine cell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06/12/1996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Jaw crusher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06/12/1996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Tester, microhardness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10/01/1994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Goniometer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06/01/1993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13,253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system IBM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06/01/1992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36,279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Grinder, dimple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128C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Analysis System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124B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Furnace, induction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Furnace, tube/controller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</w:tbl>
    <w:p w:rsidR="009E5031" w:rsidRDefault="009E5031"/>
    <w:p w:rsidR="009E5031" w:rsidRDefault="009E5031"/>
    <w:p w:rsidR="009E5031" w:rsidRDefault="009E5031"/>
    <w:p w:rsidR="009E5031" w:rsidRDefault="009E5031"/>
    <w:p w:rsidR="009E5031" w:rsidRDefault="009E5031"/>
    <w:tbl>
      <w:tblPr>
        <w:tblW w:w="11363" w:type="dxa"/>
        <w:jc w:val="center"/>
        <w:tblLook w:val="04A0" w:firstRow="1" w:lastRow="0" w:firstColumn="1" w:lastColumn="0" w:noHBand="0" w:noVBand="1"/>
      </w:tblPr>
      <w:tblGrid>
        <w:gridCol w:w="23"/>
        <w:gridCol w:w="6860"/>
        <w:gridCol w:w="1310"/>
        <w:gridCol w:w="1040"/>
        <w:gridCol w:w="1060"/>
        <w:gridCol w:w="1070"/>
      </w:tblGrid>
      <w:tr w:rsidR="009E5031" w:rsidRPr="009E5031" w:rsidTr="009E5031">
        <w:trPr>
          <w:jc w:val="center"/>
        </w:trPr>
        <w:tc>
          <w:tcPr>
            <w:tcW w:w="1136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5031" w:rsidRPr="009E5031" w:rsidRDefault="009E5031" w:rsidP="00FB35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 w:rsidR="00FB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C-2</w:t>
            </w: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Capital assets acquired before 2010 (Cont’d)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Asset Description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Acq</w:t>
            </w:r>
            <w:proofErr w:type="spellEnd"/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Room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 Millier Fischion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Goniometer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06/01/1993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13,253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system IBM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36,279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Grinder, dimple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07/01/1991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8,280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128C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Analysis System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09/01/1990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124B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Furnace, induction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04/01/1990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63,414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Furnace, tube/controller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06/01/1989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5,039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130A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Separator, magnetic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10/01/1987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Furnace, triple  console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12/01/1976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5,268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128B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System, MTS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10/01/1974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23,917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Spectrometer, mass</w:t>
            </w:r>
          </w:p>
        </w:tc>
        <w:tc>
          <w:tcPr>
            <w:tcW w:w="1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07/01/1974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23,280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  <w:tr w:rsidR="009E5031" w:rsidRPr="009E5031" w:rsidTr="009E5031">
        <w:trPr>
          <w:gridBefore w:val="1"/>
          <w:wBefore w:w="23" w:type="dxa"/>
          <w:trHeight w:val="315"/>
          <w:jc w:val="center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Rolling mill w/drive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12/01/1962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031" w:rsidRPr="009E5031" w:rsidRDefault="009E5031" w:rsidP="009E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</w:t>
            </w:r>
          </w:p>
        </w:tc>
      </w:tr>
    </w:tbl>
    <w:p w:rsidR="00896B55" w:rsidRDefault="00896B55">
      <w:pPr>
        <w:sectPr w:rsidR="00896B55" w:rsidSect="00A8123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96B55" w:rsidRPr="00E60C39" w:rsidRDefault="00896B55" w:rsidP="00896B55">
      <w:pPr>
        <w:rPr>
          <w:rFonts w:ascii="Times New Roman" w:hAnsi="Times New Roman" w:cs="Times New Roman"/>
          <w:sz w:val="24"/>
          <w:szCs w:val="24"/>
        </w:rPr>
      </w:pPr>
      <w:r w:rsidRPr="00E60C3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="00E60C39">
        <w:rPr>
          <w:rFonts w:ascii="Times New Roman" w:hAnsi="Times New Roman" w:cs="Times New Roman"/>
          <w:sz w:val="24"/>
          <w:szCs w:val="24"/>
        </w:rPr>
        <w:t>i</w:t>
      </w:r>
      <w:r w:rsidR="00E60C39" w:rsidRPr="00E60C39">
        <w:rPr>
          <w:rFonts w:ascii="Times New Roman" w:hAnsi="Times New Roman" w:cs="Times New Roman"/>
          <w:sz w:val="24"/>
          <w:szCs w:val="24"/>
        </w:rPr>
        <w:t>ntentionally</w:t>
      </w:r>
      <w:proofErr w:type="gramEnd"/>
      <w:r w:rsidRPr="00E60C39">
        <w:rPr>
          <w:rFonts w:ascii="Times New Roman" w:hAnsi="Times New Roman" w:cs="Times New Roman"/>
          <w:sz w:val="24"/>
          <w:szCs w:val="24"/>
        </w:rPr>
        <w:t xml:space="preserve"> blank)</w:t>
      </w:r>
    </w:p>
    <w:p w:rsidR="009E5031" w:rsidRDefault="009E5031"/>
    <w:sectPr w:rsidR="009E5031" w:rsidSect="0089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E4" w:rsidRDefault="00F52EE4" w:rsidP="00D152E9">
      <w:r>
        <w:separator/>
      </w:r>
    </w:p>
  </w:endnote>
  <w:endnote w:type="continuationSeparator" w:id="0">
    <w:p w:rsidR="00F52EE4" w:rsidRDefault="00F52EE4" w:rsidP="00D1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yptienne F LT Std">
    <w:altName w:val="Calisto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39" w:rsidRDefault="00E60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sdt>
    <w:sdtPr>
      <w:rPr>
        <w:rFonts w:ascii="Times New Roman" w:hAnsi="Times New Roman" w:cs="Times New Roman"/>
        <w:sz w:val="24"/>
        <w:szCs w:val="24"/>
      </w:rPr>
      <w:id w:val="80289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5C4" w:rsidRPr="004F2404" w:rsidRDefault="003905C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2404">
          <w:rPr>
            <w:rFonts w:ascii="Times New Roman" w:hAnsi="Times New Roman" w:cs="Times New Roman"/>
            <w:sz w:val="24"/>
            <w:szCs w:val="24"/>
          </w:rPr>
          <w:t>C-</w:t>
        </w:r>
        <w:r w:rsidRPr="004F24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4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4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C3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F24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1"/>
  <w:p w:rsidR="003905C4" w:rsidRDefault="00390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39" w:rsidRDefault="00E6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E4" w:rsidRDefault="00F52EE4" w:rsidP="00D152E9">
      <w:r>
        <w:separator/>
      </w:r>
    </w:p>
  </w:footnote>
  <w:footnote w:type="continuationSeparator" w:id="0">
    <w:p w:rsidR="00F52EE4" w:rsidRDefault="00F52EE4" w:rsidP="00D1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39" w:rsidRDefault="00E60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Pr="00D152E9" w:rsidRDefault="003905C4">
    <w:pPr>
      <w:pStyle w:val="Header"/>
      <w:rPr>
        <w:rFonts w:ascii="Times New Roman" w:hAnsi="Times New Roman" w:cs="Times New Roman"/>
        <w:sz w:val="18"/>
        <w:szCs w:val="18"/>
      </w:rPr>
    </w:pPr>
    <w:r w:rsidRPr="00086D69">
      <w:rPr>
        <w:rFonts w:ascii="Times New Roman" w:hAnsi="Times New Roman" w:cs="Times New Roman"/>
        <w:sz w:val="18"/>
        <w:szCs w:val="18"/>
      </w:rPr>
      <w:t xml:space="preserve">SDSM&amp;T: BS Metallurgical Engineering Program: Appendix </w:t>
    </w:r>
    <w:r>
      <w:rPr>
        <w:rFonts w:ascii="Times New Roman" w:hAnsi="Times New Roman" w:cs="Times New Roman"/>
        <w:sz w:val="18"/>
        <w:szCs w:val="18"/>
      </w:rPr>
      <w:t>C</w:t>
    </w:r>
    <w:r w:rsidRPr="00086D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–</w:t>
    </w:r>
    <w:r w:rsidRPr="00086D69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Equipment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39" w:rsidRDefault="00E6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4F"/>
    <w:multiLevelType w:val="hybridMultilevel"/>
    <w:tmpl w:val="03F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3608"/>
    <w:multiLevelType w:val="hybridMultilevel"/>
    <w:tmpl w:val="3C22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9"/>
    <w:rsid w:val="000644CF"/>
    <w:rsid w:val="0007405F"/>
    <w:rsid w:val="00177B70"/>
    <w:rsid w:val="001B4264"/>
    <w:rsid w:val="001C2CE9"/>
    <w:rsid w:val="001F40A8"/>
    <w:rsid w:val="002239E4"/>
    <w:rsid w:val="002404A7"/>
    <w:rsid w:val="003905C4"/>
    <w:rsid w:val="003C44DC"/>
    <w:rsid w:val="003D423A"/>
    <w:rsid w:val="00483CBC"/>
    <w:rsid w:val="0048615B"/>
    <w:rsid w:val="004F2404"/>
    <w:rsid w:val="005927E3"/>
    <w:rsid w:val="00655F58"/>
    <w:rsid w:val="00690FA4"/>
    <w:rsid w:val="00713E03"/>
    <w:rsid w:val="00731D25"/>
    <w:rsid w:val="007402AB"/>
    <w:rsid w:val="00741CA7"/>
    <w:rsid w:val="007C7DE9"/>
    <w:rsid w:val="008002C5"/>
    <w:rsid w:val="00896B55"/>
    <w:rsid w:val="00961C4F"/>
    <w:rsid w:val="009E242E"/>
    <w:rsid w:val="009E5031"/>
    <w:rsid w:val="00A07EFF"/>
    <w:rsid w:val="00A7609A"/>
    <w:rsid w:val="00A81234"/>
    <w:rsid w:val="00BA300F"/>
    <w:rsid w:val="00BB48F0"/>
    <w:rsid w:val="00BC4865"/>
    <w:rsid w:val="00BE3244"/>
    <w:rsid w:val="00D152E9"/>
    <w:rsid w:val="00D4731D"/>
    <w:rsid w:val="00D82777"/>
    <w:rsid w:val="00D83006"/>
    <w:rsid w:val="00E117EE"/>
    <w:rsid w:val="00E5230F"/>
    <w:rsid w:val="00E60C39"/>
    <w:rsid w:val="00E85F62"/>
    <w:rsid w:val="00F52EE4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A81234"/>
  </w:style>
  <w:style w:type="paragraph" w:styleId="Header">
    <w:name w:val="header"/>
    <w:basedOn w:val="Normal"/>
    <w:link w:val="HeaderChar"/>
    <w:uiPriority w:val="99"/>
    <w:unhideWhenUsed/>
    <w:rsid w:val="00D1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E9"/>
  </w:style>
  <w:style w:type="paragraph" w:styleId="Footer">
    <w:name w:val="footer"/>
    <w:basedOn w:val="Normal"/>
    <w:link w:val="FooterChar"/>
    <w:uiPriority w:val="99"/>
    <w:unhideWhenUsed/>
    <w:rsid w:val="00D1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E9"/>
  </w:style>
  <w:style w:type="table" w:styleId="TableGrid">
    <w:name w:val="Table Grid"/>
    <w:basedOn w:val="TableNormal"/>
    <w:uiPriority w:val="39"/>
    <w:rsid w:val="009E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paragraph" w:styleId="Heading1">
    <w:name w:val="heading 1"/>
    <w:basedOn w:val="Normal"/>
    <w:next w:val="Normal"/>
    <w:link w:val="Heading1Char"/>
    <w:uiPriority w:val="9"/>
    <w:qFormat/>
    <w:rsid w:val="003C44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4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4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4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4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4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4D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4D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4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4D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4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4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44DC"/>
    <w:rPr>
      <w:b/>
      <w:bCs/>
    </w:rPr>
  </w:style>
  <w:style w:type="character" w:styleId="Emphasis">
    <w:name w:val="Emphasis"/>
    <w:uiPriority w:val="20"/>
    <w:qFormat/>
    <w:rsid w:val="003C4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44DC"/>
  </w:style>
  <w:style w:type="paragraph" w:styleId="ListParagraph">
    <w:name w:val="List Paragraph"/>
    <w:basedOn w:val="Normal"/>
    <w:uiPriority w:val="34"/>
    <w:qFormat/>
    <w:rsid w:val="003C44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4D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4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4DC"/>
    <w:rPr>
      <w:b/>
      <w:bCs/>
      <w:i/>
      <w:iCs/>
    </w:rPr>
  </w:style>
  <w:style w:type="character" w:styleId="SubtleEmphasis">
    <w:name w:val="Subtle Emphasis"/>
    <w:uiPriority w:val="19"/>
    <w:qFormat/>
    <w:rsid w:val="003C44DC"/>
    <w:rPr>
      <w:i/>
      <w:iCs/>
    </w:rPr>
  </w:style>
  <w:style w:type="character" w:styleId="IntenseEmphasis">
    <w:name w:val="Intense Emphasis"/>
    <w:uiPriority w:val="21"/>
    <w:qFormat/>
    <w:rsid w:val="003C44DC"/>
    <w:rPr>
      <w:b/>
      <w:bCs/>
    </w:rPr>
  </w:style>
  <w:style w:type="character" w:styleId="SubtleReference">
    <w:name w:val="Subtle Reference"/>
    <w:uiPriority w:val="31"/>
    <w:qFormat/>
    <w:rsid w:val="003C44DC"/>
    <w:rPr>
      <w:smallCaps/>
    </w:rPr>
  </w:style>
  <w:style w:type="character" w:styleId="IntenseReference">
    <w:name w:val="Intense Reference"/>
    <w:uiPriority w:val="32"/>
    <w:qFormat/>
    <w:rsid w:val="003C44DC"/>
    <w:rPr>
      <w:smallCaps/>
      <w:spacing w:val="5"/>
      <w:u w:val="single"/>
    </w:rPr>
  </w:style>
  <w:style w:type="character" w:styleId="BookTitle">
    <w:name w:val="Book Title"/>
    <w:uiPriority w:val="33"/>
    <w:qFormat/>
    <w:rsid w:val="003C44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4DC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A81234"/>
  </w:style>
  <w:style w:type="paragraph" w:styleId="Header">
    <w:name w:val="header"/>
    <w:basedOn w:val="Normal"/>
    <w:link w:val="HeaderChar"/>
    <w:uiPriority w:val="99"/>
    <w:unhideWhenUsed/>
    <w:rsid w:val="00D1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E9"/>
  </w:style>
  <w:style w:type="paragraph" w:styleId="Footer">
    <w:name w:val="footer"/>
    <w:basedOn w:val="Normal"/>
    <w:link w:val="FooterChar"/>
    <w:uiPriority w:val="99"/>
    <w:unhideWhenUsed/>
    <w:rsid w:val="00D1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E9"/>
  </w:style>
  <w:style w:type="table" w:styleId="TableGrid">
    <w:name w:val="Table Grid"/>
    <w:basedOn w:val="TableNormal"/>
    <w:uiPriority w:val="39"/>
    <w:rsid w:val="009E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Stanley M.</dc:creator>
  <cp:lastModifiedBy>Howard, Stanley M.</cp:lastModifiedBy>
  <cp:revision>5</cp:revision>
  <dcterms:created xsi:type="dcterms:W3CDTF">2016-06-28T17:43:00Z</dcterms:created>
  <dcterms:modified xsi:type="dcterms:W3CDTF">2016-07-06T18:06:00Z</dcterms:modified>
</cp:coreProperties>
</file>