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07" w:rsidRPr="005440CB" w:rsidRDefault="00C71C66" w:rsidP="003B14D5">
      <w:pPr>
        <w:jc w:val="center"/>
        <w:outlineLvl w:val="0"/>
        <w:rPr>
          <w:rFonts w:ascii="Times New Roman" w:hAnsi="Times New Roman" w:cs="Times New Roman"/>
          <w:b/>
          <w:bCs/>
        </w:rPr>
      </w:pPr>
      <w:r w:rsidRPr="005440CB">
        <w:rPr>
          <w:rFonts w:ascii="Times New Roman" w:hAnsi="Times New Roman" w:cs="Times New Roman"/>
          <w:b/>
          <w:bCs/>
        </w:rPr>
        <w:t>MATH 123 CALCULUS I</w:t>
      </w:r>
    </w:p>
    <w:p w:rsidR="00C71C66" w:rsidRPr="005440CB" w:rsidRDefault="00C71C66" w:rsidP="003B14D5">
      <w:pPr>
        <w:jc w:val="center"/>
        <w:outlineLvl w:val="0"/>
        <w:rPr>
          <w:rFonts w:ascii="Times New Roman" w:hAnsi="Times New Roman" w:cs="Times New Roman"/>
          <w:b/>
        </w:rPr>
      </w:pPr>
    </w:p>
    <w:p w:rsidR="004F7FCD" w:rsidRPr="005440CB" w:rsidRDefault="004F7FCD" w:rsidP="004F7FCD">
      <w:pPr>
        <w:outlineLvl w:val="0"/>
        <w:rPr>
          <w:rFonts w:ascii="Times New Roman" w:hAnsi="Times New Roman" w:cs="Times New Roman"/>
          <w:b/>
        </w:rPr>
      </w:pPr>
      <w:r w:rsidRPr="005440CB">
        <w:rPr>
          <w:rFonts w:ascii="Times New Roman" w:hAnsi="Times New Roman" w:cs="Times New Roman"/>
          <w:b/>
        </w:rPr>
        <w:t>Department:</w:t>
      </w:r>
      <w:r w:rsidRPr="005440CB">
        <w:rPr>
          <w:rFonts w:ascii="Times New Roman" w:hAnsi="Times New Roman" w:cs="Times New Roman"/>
          <w:b/>
        </w:rPr>
        <w:tab/>
      </w:r>
      <w:r w:rsidR="00F96CFD" w:rsidRPr="005440CB">
        <w:rPr>
          <w:rFonts w:ascii="Times New Roman" w:hAnsi="Times New Roman" w:cs="Times New Roman"/>
          <w:b/>
        </w:rPr>
        <w:tab/>
      </w:r>
      <w:r w:rsidR="00F96CFD" w:rsidRPr="005440CB">
        <w:rPr>
          <w:rFonts w:ascii="Times New Roman" w:hAnsi="Times New Roman" w:cs="Times New Roman"/>
        </w:rPr>
        <w:t>Mathe</w:t>
      </w:r>
      <w:r w:rsidR="00A0787C" w:rsidRPr="005440CB">
        <w:rPr>
          <w:rFonts w:ascii="Times New Roman" w:hAnsi="Times New Roman" w:cs="Times New Roman"/>
        </w:rPr>
        <w:t>ma</w:t>
      </w:r>
      <w:r w:rsidR="00F96CFD" w:rsidRPr="005440CB">
        <w:rPr>
          <w:rFonts w:ascii="Times New Roman" w:hAnsi="Times New Roman" w:cs="Times New Roman"/>
        </w:rPr>
        <w:t>tics and Computer Science</w:t>
      </w:r>
    </w:p>
    <w:p w:rsidR="004F7FCD" w:rsidRPr="005440CB" w:rsidRDefault="004F7FCD" w:rsidP="004F7FCD">
      <w:pPr>
        <w:outlineLvl w:val="0"/>
        <w:rPr>
          <w:rFonts w:ascii="Times New Roman" w:hAnsi="Times New Roman" w:cs="Times New Roman"/>
          <w:b/>
        </w:rPr>
      </w:pPr>
    </w:p>
    <w:p w:rsidR="004F7FCD" w:rsidRPr="005440CB" w:rsidRDefault="004F7FCD" w:rsidP="004F7FCD">
      <w:pPr>
        <w:outlineLvl w:val="0"/>
        <w:rPr>
          <w:rFonts w:ascii="Times New Roman" w:hAnsi="Times New Roman" w:cs="Times New Roman"/>
          <w:b/>
        </w:rPr>
      </w:pPr>
      <w:r w:rsidRPr="005440CB">
        <w:rPr>
          <w:rFonts w:ascii="Times New Roman" w:hAnsi="Times New Roman" w:cs="Times New Roman"/>
          <w:b/>
        </w:rPr>
        <w:t>Designation:</w:t>
      </w:r>
      <w:r w:rsidRPr="005440CB">
        <w:rPr>
          <w:rFonts w:ascii="Times New Roman" w:hAnsi="Times New Roman" w:cs="Times New Roman"/>
          <w:b/>
        </w:rPr>
        <w:tab/>
      </w:r>
      <w:r w:rsidRPr="005440CB">
        <w:rPr>
          <w:rFonts w:ascii="Times New Roman" w:hAnsi="Times New Roman" w:cs="Times New Roman"/>
          <w:b/>
        </w:rPr>
        <w:tab/>
      </w:r>
      <w:r w:rsidRPr="005440CB">
        <w:rPr>
          <w:rFonts w:ascii="Times New Roman" w:hAnsi="Times New Roman" w:cs="Times New Roman"/>
        </w:rPr>
        <w:t>Required</w:t>
      </w:r>
    </w:p>
    <w:p w:rsidR="004F7FCD" w:rsidRPr="005440CB" w:rsidRDefault="004F7FCD" w:rsidP="004F7FCD">
      <w:pPr>
        <w:outlineLvl w:val="0"/>
        <w:rPr>
          <w:rFonts w:ascii="Times New Roman" w:hAnsi="Times New Roman" w:cs="Times New Roman"/>
          <w:b/>
        </w:rPr>
      </w:pPr>
    </w:p>
    <w:p w:rsidR="00C71C66" w:rsidRPr="005440CB" w:rsidRDefault="004F7FCD" w:rsidP="00D927B3">
      <w:pPr>
        <w:pStyle w:val="Default"/>
        <w:ind w:left="2880" w:hanging="2160"/>
        <w:rPr>
          <w:sz w:val="22"/>
          <w:szCs w:val="22"/>
        </w:rPr>
      </w:pPr>
      <w:r w:rsidRPr="005440CB">
        <w:rPr>
          <w:b/>
          <w:color w:val="auto"/>
          <w:sz w:val="22"/>
          <w:szCs w:val="22"/>
        </w:rPr>
        <w:t>Catalog Data:</w:t>
      </w:r>
      <w:r w:rsidR="00171C1C" w:rsidRPr="005440CB">
        <w:rPr>
          <w:b/>
          <w:color w:val="auto"/>
          <w:sz w:val="22"/>
          <w:szCs w:val="22"/>
        </w:rPr>
        <w:tab/>
      </w:r>
      <w:r w:rsidR="00C71C66" w:rsidRPr="005440CB">
        <w:rPr>
          <w:sz w:val="22"/>
          <w:szCs w:val="22"/>
        </w:rPr>
        <w:t>(4-0) 4 credits. Prerequisite: MATH 115 with a minimum grade of “C” or appropriate mathematics placement or permission of instructor. Students who are initially placed into MATH 102 or below must complete MATH 102 and MATH 120 with a minimum grade of “C” before enrolling in MATH 123. Students who are placed in MATH 120 should consult their advisor to determine whether their placement score was sufficiently high to allow concurrent registration in MATH 123. The study of limits, continuity, derivatives, applications of the derivative, antiderivatives, the definite and indefinite integral, and the fundamental theorem of calculus.</w:t>
      </w:r>
    </w:p>
    <w:p w:rsidR="00C71C66" w:rsidRPr="005440CB" w:rsidRDefault="00C71C66" w:rsidP="00C71C66">
      <w:pPr>
        <w:pStyle w:val="Default"/>
        <w:ind w:left="2520" w:hanging="2160"/>
        <w:rPr>
          <w:sz w:val="22"/>
          <w:szCs w:val="22"/>
        </w:rPr>
      </w:pPr>
    </w:p>
    <w:p w:rsidR="00C71C66" w:rsidRPr="005440CB" w:rsidRDefault="004F7FCD" w:rsidP="00D927B3">
      <w:pPr>
        <w:tabs>
          <w:tab w:val="left" w:pos="2520"/>
        </w:tabs>
        <w:spacing w:before="100" w:beforeAutospacing="1" w:after="100" w:afterAutospacing="1"/>
        <w:ind w:left="360" w:firstLine="0"/>
        <w:rPr>
          <w:rFonts w:ascii="Times New Roman" w:eastAsia="Times New Roman" w:hAnsi="Times New Roman" w:cs="Times New Roman"/>
          <w:lang w:bidi="ar-SA"/>
        </w:rPr>
      </w:pPr>
      <w:r w:rsidRPr="005440CB">
        <w:rPr>
          <w:rFonts w:ascii="Times New Roman" w:hAnsi="Times New Roman" w:cs="Times New Roman"/>
          <w:b/>
        </w:rPr>
        <w:t xml:space="preserve">Prerequisites: </w:t>
      </w:r>
      <w:r w:rsidR="00D927B3" w:rsidRPr="005440CB">
        <w:rPr>
          <w:rFonts w:ascii="Times New Roman" w:hAnsi="Times New Roman" w:cs="Times New Roman"/>
          <w:b/>
        </w:rPr>
        <w:tab/>
      </w:r>
      <w:r w:rsidR="00D927B3" w:rsidRPr="005440CB">
        <w:rPr>
          <w:rFonts w:ascii="Times New Roman" w:hAnsi="Times New Roman" w:cs="Times New Roman"/>
          <w:b/>
        </w:rPr>
        <w:tab/>
      </w:r>
      <w:r w:rsidR="00C71C66" w:rsidRPr="005440CB">
        <w:rPr>
          <w:rFonts w:ascii="Times New Roman" w:eastAsia="Times New Roman" w:hAnsi="Times New Roman" w:cs="Times New Roman"/>
          <w:bCs/>
          <w:lang w:bidi="ar-SA"/>
        </w:rPr>
        <w:t xml:space="preserve">College Algebra </w:t>
      </w:r>
      <w:r w:rsidR="00C71C66" w:rsidRPr="005440CB">
        <w:rPr>
          <w:rFonts w:ascii="Times New Roman" w:eastAsia="Times New Roman" w:hAnsi="Times New Roman" w:cs="Times New Roman"/>
          <w:lang w:bidi="ar-SA"/>
        </w:rPr>
        <w:t xml:space="preserve">(MATH 102) with a grade of C or better or an </w:t>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C71C66" w:rsidRPr="005440CB">
        <w:rPr>
          <w:rFonts w:ascii="Times New Roman" w:eastAsia="Times New Roman" w:hAnsi="Times New Roman" w:cs="Times New Roman"/>
          <w:lang w:bidi="ar-SA"/>
        </w:rPr>
        <w:t xml:space="preserve">acceptable </w:t>
      </w:r>
      <w:r w:rsidR="00D927B3" w:rsidRPr="005440CB">
        <w:rPr>
          <w:rFonts w:ascii="Times New Roman" w:eastAsia="Times New Roman" w:hAnsi="Times New Roman" w:cs="Times New Roman"/>
          <w:lang w:bidi="ar-SA"/>
        </w:rPr>
        <w:t xml:space="preserve"> </w:t>
      </w:r>
      <w:r w:rsidR="00C71C66" w:rsidRPr="005440CB">
        <w:rPr>
          <w:rFonts w:ascii="Times New Roman" w:eastAsia="Times New Roman" w:hAnsi="Times New Roman" w:cs="Times New Roman"/>
          <w:lang w:bidi="ar-SA"/>
        </w:rPr>
        <w:t xml:space="preserve">ACT score. </w:t>
      </w:r>
      <w:r w:rsidR="00C71C66" w:rsidRPr="005440CB">
        <w:rPr>
          <w:rFonts w:ascii="Times New Roman" w:eastAsia="Times New Roman" w:hAnsi="Times New Roman" w:cs="Times New Roman"/>
          <w:bCs/>
          <w:lang w:bidi="ar-SA"/>
        </w:rPr>
        <w:t xml:space="preserve">Corequisite of Trigonometry </w:t>
      </w:r>
      <w:r w:rsidR="00C71C66" w:rsidRPr="005440CB">
        <w:rPr>
          <w:rFonts w:ascii="Times New Roman" w:eastAsia="Times New Roman" w:hAnsi="Times New Roman" w:cs="Times New Roman"/>
          <w:lang w:bidi="ar-SA"/>
        </w:rPr>
        <w:t xml:space="preserve">(MATH 120) with a </w:t>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C71C66" w:rsidRPr="005440CB">
        <w:rPr>
          <w:rFonts w:ascii="Times New Roman" w:eastAsia="Times New Roman" w:hAnsi="Times New Roman" w:cs="Times New Roman"/>
          <w:lang w:bidi="ar-SA"/>
        </w:rPr>
        <w:t xml:space="preserve">grade of C- or </w:t>
      </w:r>
      <w:r w:rsidR="00D927B3" w:rsidRPr="005440CB">
        <w:rPr>
          <w:rFonts w:ascii="Times New Roman" w:eastAsia="Times New Roman" w:hAnsi="Times New Roman" w:cs="Times New Roman"/>
          <w:lang w:bidi="ar-SA"/>
        </w:rPr>
        <w:t xml:space="preserve"> </w:t>
      </w:r>
      <w:r w:rsidR="00C71C66" w:rsidRPr="005440CB">
        <w:rPr>
          <w:rFonts w:ascii="Times New Roman" w:eastAsia="Times New Roman" w:hAnsi="Times New Roman" w:cs="Times New Roman"/>
          <w:lang w:bidi="ar-SA"/>
        </w:rPr>
        <w:t xml:space="preserve">better or an acceptable score on the COMPASS </w:t>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D927B3" w:rsidRPr="005440CB">
        <w:rPr>
          <w:rFonts w:ascii="Times New Roman" w:eastAsia="Times New Roman" w:hAnsi="Times New Roman" w:cs="Times New Roman"/>
          <w:lang w:bidi="ar-SA"/>
        </w:rPr>
        <w:tab/>
      </w:r>
      <w:r w:rsidR="00C71C66" w:rsidRPr="005440CB">
        <w:rPr>
          <w:rFonts w:ascii="Times New Roman" w:eastAsia="Times New Roman" w:hAnsi="Times New Roman" w:cs="Times New Roman"/>
          <w:lang w:bidi="ar-SA"/>
        </w:rPr>
        <w:t xml:space="preserve">Placement Exam. </w:t>
      </w:r>
    </w:p>
    <w:p w:rsidR="00867A3B" w:rsidRPr="005440CB" w:rsidRDefault="004F7FCD" w:rsidP="00867A3B">
      <w:pPr>
        <w:pStyle w:val="Default"/>
        <w:rPr>
          <w:sz w:val="22"/>
          <w:szCs w:val="22"/>
          <w:lang w:bidi="ar-SA"/>
        </w:rPr>
      </w:pPr>
      <w:r w:rsidRPr="005440CB">
        <w:rPr>
          <w:b/>
          <w:sz w:val="22"/>
          <w:szCs w:val="22"/>
        </w:rPr>
        <w:t xml:space="preserve">Textbook: </w:t>
      </w:r>
      <w:r w:rsidR="00011872" w:rsidRPr="005440CB">
        <w:rPr>
          <w:b/>
          <w:sz w:val="22"/>
          <w:szCs w:val="22"/>
        </w:rPr>
        <w:tab/>
      </w:r>
      <w:r w:rsidR="00011872" w:rsidRPr="005440CB">
        <w:rPr>
          <w:b/>
          <w:sz w:val="22"/>
          <w:szCs w:val="22"/>
        </w:rPr>
        <w:tab/>
      </w:r>
      <w:r w:rsidR="00867A3B" w:rsidRPr="005440CB">
        <w:rPr>
          <w:b/>
          <w:sz w:val="22"/>
          <w:szCs w:val="22"/>
        </w:rPr>
        <w:tab/>
      </w:r>
      <w:r w:rsidR="00867A3B" w:rsidRPr="005440CB">
        <w:rPr>
          <w:sz w:val="22"/>
          <w:szCs w:val="22"/>
          <w:lang w:bidi="ar-SA"/>
        </w:rPr>
        <w:t xml:space="preserve"> </w:t>
      </w:r>
      <w:r w:rsidR="00D927B3" w:rsidRPr="005440CB">
        <w:rPr>
          <w:sz w:val="22"/>
          <w:szCs w:val="22"/>
        </w:rPr>
        <w:t>Calculus by Rogawski, published by Freeman, 2008</w:t>
      </w:r>
      <w:r w:rsidR="00867A3B" w:rsidRPr="005440CB">
        <w:rPr>
          <w:sz w:val="22"/>
          <w:szCs w:val="22"/>
          <w:lang w:bidi="ar-SA"/>
        </w:rPr>
        <w:t xml:space="preserve">. </w:t>
      </w:r>
    </w:p>
    <w:p w:rsidR="00867A3B" w:rsidRPr="005440CB" w:rsidRDefault="00867A3B" w:rsidP="00867A3B">
      <w:pPr>
        <w:autoSpaceDE w:val="0"/>
        <w:autoSpaceDN w:val="0"/>
        <w:adjustRightInd w:val="0"/>
        <w:rPr>
          <w:rFonts w:ascii="Times New Roman" w:hAnsi="Times New Roman" w:cs="Times New Roman"/>
          <w:color w:val="000000"/>
          <w:lang w:bidi="ar-SA"/>
        </w:rPr>
      </w:pPr>
    </w:p>
    <w:p w:rsidR="00D927B3" w:rsidRPr="005440CB" w:rsidRDefault="004F7FCD" w:rsidP="005440CB">
      <w:pPr>
        <w:spacing w:before="100" w:beforeAutospacing="1" w:after="100" w:afterAutospacing="1"/>
        <w:rPr>
          <w:rFonts w:ascii="Times New Roman" w:eastAsia="Times New Roman" w:hAnsi="Times New Roman" w:cs="Times New Roman"/>
          <w:lang w:bidi="ar-SA"/>
        </w:rPr>
      </w:pPr>
      <w:r w:rsidRPr="005440CB">
        <w:rPr>
          <w:rFonts w:ascii="Times New Roman" w:hAnsi="Times New Roman" w:cs="Times New Roman"/>
          <w:b/>
        </w:rPr>
        <w:t>Course Learning Outcomes:</w:t>
      </w:r>
      <w:r w:rsidR="0044006D" w:rsidRPr="005440CB">
        <w:rPr>
          <w:rFonts w:ascii="Times New Roman" w:hAnsi="Times New Roman" w:cs="Times New Roman"/>
          <w:b/>
        </w:rPr>
        <w:t xml:space="preserve">  </w:t>
      </w:r>
      <w:r w:rsidR="00011872" w:rsidRPr="005440CB">
        <w:rPr>
          <w:rFonts w:ascii="Times New Roman" w:hAnsi="Times New Roman" w:cs="Times New Roman"/>
        </w:rPr>
        <w:t xml:space="preserve"> </w:t>
      </w:r>
      <w:r w:rsidR="00867A3B" w:rsidRPr="005440CB">
        <w:rPr>
          <w:rFonts w:ascii="Times New Roman" w:hAnsi="Times New Roman" w:cs="Times New Roman"/>
        </w:rPr>
        <w:tab/>
      </w:r>
      <w:r w:rsidR="00D927B3" w:rsidRPr="005440CB">
        <w:rPr>
          <w:rFonts w:ascii="Times New Roman" w:eastAsia="Times New Roman" w:hAnsi="Times New Roman" w:cs="Times New Roman"/>
          <w:lang w:bidi="ar-SA"/>
        </w:rPr>
        <w:t xml:space="preserve">As a result of taking a course meeting this goal, students will: </w:t>
      </w:r>
    </w:p>
    <w:p w:rsidR="00D927B3" w:rsidRPr="005440CB" w:rsidRDefault="00D927B3" w:rsidP="005440CB">
      <w:pPr>
        <w:spacing w:before="100" w:beforeAutospacing="1" w:after="100" w:afterAutospacing="1"/>
        <w:ind w:left="2880" w:firstLine="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1. Use mathematical symbols and mathematical structure to model and solve real world problems. Assessment: Students will</w:t>
      </w:r>
    </w:p>
    <w:p w:rsidR="00D927B3" w:rsidRPr="005440CB" w:rsidRDefault="00D927B3" w:rsidP="005440CB">
      <w:pPr>
        <w:numPr>
          <w:ilvl w:val="1"/>
          <w:numId w:val="14"/>
        </w:numPr>
        <w:tabs>
          <w:tab w:val="clear" w:pos="1440"/>
          <w:tab w:val="num" w:pos="3600"/>
        </w:tabs>
        <w:spacing w:before="100" w:beforeAutospacing="1" w:after="100" w:afterAutospacing="1"/>
        <w:ind w:left="360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 xml:space="preserve">Identify, interpret, and correctly apply standard mathematics symbols to solve problems requiring the derivative. This will be demonstrated on quizzes, labs, homework, and/or exams. </w:t>
      </w:r>
    </w:p>
    <w:p w:rsidR="00D927B3" w:rsidRPr="005440CB" w:rsidRDefault="00D927B3" w:rsidP="005440CB">
      <w:pPr>
        <w:numPr>
          <w:ilvl w:val="1"/>
          <w:numId w:val="14"/>
        </w:numPr>
        <w:tabs>
          <w:tab w:val="clear" w:pos="1440"/>
          <w:tab w:val="num" w:pos="3600"/>
        </w:tabs>
        <w:spacing w:before="100" w:beforeAutospacing="1" w:after="100" w:afterAutospacing="1"/>
        <w:ind w:left="360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 xml:space="preserve">Identify, interpret, and correctly apply standard mathematics symbols to solve problems requiring the integral. This will be demonstrated on quizzes, labs, homework, and/or exams. </w:t>
      </w:r>
    </w:p>
    <w:p w:rsidR="00D927B3" w:rsidRPr="005440CB" w:rsidRDefault="00D927B3" w:rsidP="005440CB">
      <w:pPr>
        <w:spacing w:before="100" w:beforeAutospacing="1" w:after="100" w:afterAutospacing="1"/>
        <w:ind w:left="2880" w:firstLine="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 xml:space="preserve">2. Demonstrate appropriate communication skills related to mathematical terms and Assessment: Students will </w:t>
      </w:r>
    </w:p>
    <w:p w:rsidR="00D927B3" w:rsidRPr="005440CB" w:rsidRDefault="00D927B3" w:rsidP="005440CB">
      <w:pPr>
        <w:numPr>
          <w:ilvl w:val="1"/>
          <w:numId w:val="14"/>
        </w:numPr>
        <w:tabs>
          <w:tab w:val="clear" w:pos="1440"/>
          <w:tab w:val="num" w:pos="3600"/>
        </w:tabs>
        <w:spacing w:before="100" w:beforeAutospacing="1" w:after="100" w:afterAutospacing="1"/>
        <w:ind w:left="360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 xml:space="preserve">Correctly use functional notation of algebra, trigonometry, and calculus. This will be demonstrated on quizzes, labs, homework, and/or exams. </w:t>
      </w:r>
    </w:p>
    <w:p w:rsidR="00D927B3" w:rsidRPr="005440CB" w:rsidRDefault="00D927B3" w:rsidP="005440CB">
      <w:pPr>
        <w:spacing w:before="100" w:beforeAutospacing="1" w:after="100" w:afterAutospacing="1"/>
        <w:ind w:left="2880" w:firstLine="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 xml:space="preserve">3. Demonstrate the correct use of quantifiable measurements of real world situations Assessment: Students will </w:t>
      </w:r>
    </w:p>
    <w:p w:rsidR="00D927B3" w:rsidRPr="005440CB" w:rsidRDefault="00D927B3" w:rsidP="005440CB">
      <w:pPr>
        <w:numPr>
          <w:ilvl w:val="1"/>
          <w:numId w:val="14"/>
        </w:numPr>
        <w:tabs>
          <w:tab w:val="clear" w:pos="1440"/>
          <w:tab w:val="num" w:pos="3600"/>
        </w:tabs>
        <w:spacing w:before="100" w:beforeAutospacing="1" w:after="100" w:afterAutospacing="1"/>
        <w:ind w:left="360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Apply their knowledge of the integral in</w:t>
      </w:r>
      <w:r w:rsidR="00671C71">
        <w:rPr>
          <w:rFonts w:ascii="Times New Roman" w:eastAsia="Times New Roman" w:hAnsi="Times New Roman" w:cs="Times New Roman"/>
          <w:lang w:bidi="ar-SA"/>
        </w:rPr>
        <w:t xml:space="preserve"> applications such as area and</w:t>
      </w:r>
      <w:r w:rsidRPr="005440CB">
        <w:rPr>
          <w:rFonts w:ascii="Times New Roman" w:eastAsia="Times New Roman" w:hAnsi="Times New Roman" w:cs="Times New Roman"/>
          <w:lang w:bidi="ar-SA"/>
        </w:rPr>
        <w:t xml:space="preserve"> volume. This will be demonstrated on quizzes, labs, homework, and/or exams. </w:t>
      </w:r>
    </w:p>
    <w:p w:rsidR="00D927B3" w:rsidRPr="005440CB" w:rsidRDefault="00D927B3" w:rsidP="005440CB">
      <w:pPr>
        <w:numPr>
          <w:ilvl w:val="1"/>
          <w:numId w:val="14"/>
        </w:numPr>
        <w:tabs>
          <w:tab w:val="clear" w:pos="1440"/>
          <w:tab w:val="num" w:pos="3600"/>
        </w:tabs>
        <w:spacing w:before="100" w:beforeAutospacing="1" w:after="100" w:afterAutospacing="1"/>
        <w:ind w:left="3600"/>
        <w:contextualSpacing/>
        <w:rPr>
          <w:rFonts w:ascii="Times New Roman" w:eastAsia="Times New Roman" w:hAnsi="Times New Roman" w:cs="Times New Roman"/>
          <w:lang w:bidi="ar-SA"/>
        </w:rPr>
      </w:pPr>
      <w:r w:rsidRPr="005440CB">
        <w:rPr>
          <w:rFonts w:ascii="Times New Roman" w:eastAsia="Times New Roman" w:hAnsi="Times New Roman" w:cs="Times New Roman"/>
          <w:lang w:bidi="ar-SA"/>
        </w:rPr>
        <w:t>Apply their knowledge of the derivat</w:t>
      </w:r>
      <w:r w:rsidR="00671C71">
        <w:rPr>
          <w:rFonts w:ascii="Times New Roman" w:eastAsia="Times New Roman" w:hAnsi="Times New Roman" w:cs="Times New Roman"/>
          <w:lang w:bidi="ar-SA"/>
        </w:rPr>
        <w:t xml:space="preserve">ive in applications such as </w:t>
      </w:r>
      <w:r w:rsidRPr="005440CB">
        <w:rPr>
          <w:rFonts w:ascii="Times New Roman" w:eastAsia="Times New Roman" w:hAnsi="Times New Roman" w:cs="Times New Roman"/>
          <w:lang w:bidi="ar-SA"/>
        </w:rPr>
        <w:t xml:space="preserve"> curve sketching, optimization, velocity, and acceleration. This will be demonstrated on quizzes, labs, homework, and/or exams </w:t>
      </w:r>
    </w:p>
    <w:p w:rsidR="00867A3B" w:rsidRPr="005440CB" w:rsidRDefault="00867A3B" w:rsidP="00D927B3">
      <w:pPr>
        <w:pStyle w:val="Default"/>
        <w:rPr>
          <w:b/>
          <w:sz w:val="22"/>
          <w:szCs w:val="22"/>
        </w:rPr>
      </w:pPr>
    </w:p>
    <w:p w:rsidR="005440CB" w:rsidRDefault="004F7FCD" w:rsidP="005440CB">
      <w:pPr>
        <w:pStyle w:val="Default"/>
        <w:rPr>
          <w:sz w:val="22"/>
          <w:szCs w:val="22"/>
        </w:rPr>
      </w:pPr>
      <w:r w:rsidRPr="005440CB">
        <w:rPr>
          <w:b/>
        </w:rPr>
        <w:t xml:space="preserve">Topics: </w:t>
      </w:r>
      <w:r w:rsidRPr="005440CB">
        <w:rPr>
          <w:b/>
        </w:rPr>
        <w:tab/>
      </w:r>
      <w:r w:rsidR="005440CB">
        <w:rPr>
          <w:b/>
        </w:rPr>
        <w:tab/>
      </w:r>
      <w:r w:rsidR="005440CB">
        <w:rPr>
          <w:b/>
        </w:rPr>
        <w:tab/>
      </w:r>
      <w:r w:rsidR="005440CB" w:rsidRPr="005440CB">
        <w:rPr>
          <w:sz w:val="22"/>
          <w:szCs w:val="22"/>
        </w:rPr>
        <w:t xml:space="preserve">The study of limits, continuity, derivatives, applications of the derivative, </w:t>
      </w:r>
    </w:p>
    <w:p w:rsidR="005440CB" w:rsidRDefault="005440CB" w:rsidP="005440CB">
      <w:pPr>
        <w:pStyle w:val="Default"/>
        <w:rPr>
          <w:sz w:val="22"/>
          <w:szCs w:val="22"/>
        </w:rPr>
      </w:pPr>
      <w:r>
        <w:rPr>
          <w:sz w:val="22"/>
          <w:szCs w:val="22"/>
        </w:rPr>
        <w:tab/>
      </w:r>
      <w:r>
        <w:rPr>
          <w:sz w:val="22"/>
          <w:szCs w:val="22"/>
        </w:rPr>
        <w:tab/>
      </w:r>
      <w:r>
        <w:rPr>
          <w:sz w:val="22"/>
          <w:szCs w:val="22"/>
        </w:rPr>
        <w:tab/>
      </w:r>
      <w:r>
        <w:rPr>
          <w:sz w:val="22"/>
          <w:szCs w:val="22"/>
        </w:rPr>
        <w:tab/>
      </w:r>
      <w:r w:rsidRPr="005440CB">
        <w:rPr>
          <w:sz w:val="22"/>
          <w:szCs w:val="22"/>
        </w:rPr>
        <w:t xml:space="preserve">antiderivatives, the definite and indefinite integral, and the fundamental </w:t>
      </w:r>
    </w:p>
    <w:p w:rsidR="005440CB" w:rsidRPr="005440CB" w:rsidRDefault="005440CB" w:rsidP="005440CB">
      <w:pPr>
        <w:pStyle w:val="Default"/>
        <w:rPr>
          <w:sz w:val="22"/>
          <w:szCs w:val="22"/>
        </w:rPr>
      </w:pPr>
      <w:r>
        <w:rPr>
          <w:sz w:val="22"/>
          <w:szCs w:val="22"/>
        </w:rPr>
        <w:tab/>
      </w:r>
      <w:r>
        <w:rPr>
          <w:sz w:val="22"/>
          <w:szCs w:val="22"/>
        </w:rPr>
        <w:tab/>
      </w:r>
      <w:r>
        <w:rPr>
          <w:sz w:val="22"/>
          <w:szCs w:val="22"/>
        </w:rPr>
        <w:tab/>
      </w:r>
      <w:r>
        <w:rPr>
          <w:sz w:val="22"/>
          <w:szCs w:val="22"/>
        </w:rPr>
        <w:tab/>
      </w:r>
      <w:r w:rsidRPr="005440CB">
        <w:rPr>
          <w:sz w:val="22"/>
          <w:szCs w:val="22"/>
        </w:rPr>
        <w:t>theorem of calculus.</w:t>
      </w:r>
    </w:p>
    <w:p w:rsidR="00BF17D3" w:rsidRPr="005440CB" w:rsidRDefault="00BF17D3" w:rsidP="00867A3B">
      <w:pPr>
        <w:autoSpaceDE w:val="0"/>
        <w:autoSpaceDN w:val="0"/>
        <w:adjustRightInd w:val="0"/>
        <w:rPr>
          <w:rFonts w:ascii="Times New Roman" w:hAnsi="Times New Roman" w:cs="Times New Roman"/>
          <w:b/>
        </w:rPr>
      </w:pPr>
    </w:p>
    <w:p w:rsidR="00BF17D3" w:rsidRPr="005440CB" w:rsidRDefault="004F7FCD" w:rsidP="005440CB">
      <w:pPr>
        <w:pStyle w:val="Default"/>
        <w:rPr>
          <w:b/>
        </w:rPr>
      </w:pPr>
      <w:r w:rsidRPr="005440CB">
        <w:rPr>
          <w:b/>
          <w:sz w:val="22"/>
          <w:szCs w:val="22"/>
        </w:rPr>
        <w:t xml:space="preserve">Class/Laboratory Schedule: </w:t>
      </w:r>
      <w:r w:rsidRPr="005440CB">
        <w:rPr>
          <w:b/>
          <w:sz w:val="22"/>
          <w:szCs w:val="22"/>
        </w:rPr>
        <w:tab/>
      </w:r>
      <w:r w:rsidR="00C846E2" w:rsidRPr="00C846E2">
        <w:rPr>
          <w:sz w:val="22"/>
          <w:szCs w:val="22"/>
        </w:rPr>
        <w:t>vari</w:t>
      </w:r>
      <w:r w:rsidR="00C846E2">
        <w:rPr>
          <w:sz w:val="22"/>
          <w:szCs w:val="22"/>
        </w:rPr>
        <w:t>able</w:t>
      </w:r>
    </w:p>
    <w:p w:rsidR="00004D3C" w:rsidRPr="005440CB" w:rsidRDefault="00004D3C" w:rsidP="004F7FCD">
      <w:pPr>
        <w:outlineLvl w:val="0"/>
        <w:rPr>
          <w:rFonts w:ascii="Times New Roman" w:hAnsi="Times New Roman" w:cs="Times New Roman"/>
          <w:b/>
        </w:rPr>
      </w:pPr>
    </w:p>
    <w:p w:rsidR="004F7FCD" w:rsidRPr="005440CB" w:rsidRDefault="004F7FCD" w:rsidP="004F7FCD">
      <w:pPr>
        <w:outlineLvl w:val="0"/>
        <w:rPr>
          <w:rFonts w:ascii="Times New Roman" w:hAnsi="Times New Roman" w:cs="Times New Roman"/>
        </w:rPr>
      </w:pPr>
      <w:r w:rsidRPr="005440CB">
        <w:rPr>
          <w:rFonts w:ascii="Times New Roman" w:hAnsi="Times New Roman" w:cs="Times New Roman"/>
          <w:b/>
        </w:rPr>
        <w:t>Contribution to Criterion 5:</w:t>
      </w:r>
      <w:r w:rsidRPr="005440CB">
        <w:rPr>
          <w:rFonts w:ascii="Times New Roman" w:hAnsi="Times New Roman" w:cs="Times New Roman"/>
          <w:b/>
        </w:rPr>
        <w:tab/>
      </w:r>
      <w:r w:rsidR="005440CB">
        <w:rPr>
          <w:rFonts w:ascii="Times New Roman" w:hAnsi="Times New Roman" w:cs="Times New Roman"/>
        </w:rPr>
        <w:t>basic math and sciences</w:t>
      </w:r>
    </w:p>
    <w:p w:rsidR="00011872" w:rsidRPr="005440CB" w:rsidRDefault="00011872" w:rsidP="004F7FCD">
      <w:pPr>
        <w:outlineLvl w:val="0"/>
        <w:rPr>
          <w:rFonts w:ascii="Times New Roman" w:hAnsi="Times New Roman" w:cs="Times New Roman"/>
          <w:b/>
        </w:rPr>
      </w:pPr>
    </w:p>
    <w:p w:rsidR="004F7FCD" w:rsidRPr="005440CB" w:rsidRDefault="004F7FCD" w:rsidP="004F7FCD">
      <w:pPr>
        <w:outlineLvl w:val="0"/>
        <w:rPr>
          <w:rFonts w:ascii="Times New Roman" w:hAnsi="Times New Roman" w:cs="Times New Roman"/>
          <w:b/>
        </w:rPr>
      </w:pPr>
      <w:r w:rsidRPr="005440CB">
        <w:rPr>
          <w:rFonts w:ascii="Times New Roman" w:hAnsi="Times New Roman" w:cs="Times New Roman"/>
          <w:b/>
        </w:rPr>
        <w:t>Relationship of Course to ABET Outcomes (a) through (k)</w:t>
      </w:r>
    </w:p>
    <w:tbl>
      <w:tblPr>
        <w:tblStyle w:val="TableGrid"/>
        <w:tblW w:w="9540" w:type="dxa"/>
        <w:tblInd w:w="108" w:type="dxa"/>
        <w:tblLayout w:type="fixed"/>
        <w:tblLook w:val="04A0"/>
      </w:tblPr>
      <w:tblGrid>
        <w:gridCol w:w="6120"/>
        <w:gridCol w:w="990"/>
        <w:gridCol w:w="1260"/>
        <w:gridCol w:w="1170"/>
      </w:tblGrid>
      <w:tr w:rsidR="004F7FCD" w:rsidRPr="005440CB" w:rsidTr="005440CB">
        <w:tc>
          <w:tcPr>
            <w:tcW w:w="6120" w:type="dxa"/>
            <w:tcBorders>
              <w:top w:val="nil"/>
              <w:left w:val="nil"/>
              <w:bottom w:val="nil"/>
            </w:tcBorders>
          </w:tcPr>
          <w:p w:rsidR="004F7FCD" w:rsidRPr="005440CB" w:rsidRDefault="004F7FCD" w:rsidP="00581E9C">
            <w:pPr>
              <w:tabs>
                <w:tab w:val="left" w:pos="360"/>
              </w:tabs>
              <w:rPr>
                <w:rFonts w:ascii="Times New Roman" w:hAnsi="Times New Roman" w:cs="Times New Roman"/>
              </w:rPr>
            </w:pPr>
          </w:p>
        </w:tc>
        <w:tc>
          <w:tcPr>
            <w:tcW w:w="3420" w:type="dxa"/>
            <w:gridSpan w:val="3"/>
            <w:shd w:val="clear" w:color="auto" w:fill="auto"/>
          </w:tcPr>
          <w:p w:rsidR="004F7FCD" w:rsidRPr="005440CB" w:rsidRDefault="004F7FCD" w:rsidP="00581E9C">
            <w:pPr>
              <w:tabs>
                <w:tab w:val="left" w:pos="360"/>
              </w:tabs>
              <w:jc w:val="center"/>
              <w:rPr>
                <w:rFonts w:ascii="Times New Roman" w:hAnsi="Times New Roman" w:cs="Times New Roman"/>
                <w:b/>
              </w:rPr>
            </w:pPr>
            <w:r w:rsidRPr="005440CB">
              <w:rPr>
                <w:rFonts w:ascii="Times New Roman" w:hAnsi="Times New Roman" w:cs="Times New Roman"/>
                <w:b/>
              </w:rPr>
              <w:t>Level of Emphasis</w:t>
            </w:r>
          </w:p>
        </w:tc>
      </w:tr>
      <w:tr w:rsidR="004F7FCD" w:rsidRPr="005440CB" w:rsidTr="005440CB">
        <w:tc>
          <w:tcPr>
            <w:tcW w:w="6120" w:type="dxa"/>
            <w:tcBorders>
              <w:top w:val="nil"/>
              <w:left w:val="nil"/>
            </w:tcBorders>
          </w:tcPr>
          <w:p w:rsidR="004F7FCD" w:rsidRPr="005440CB" w:rsidRDefault="004F7FCD" w:rsidP="00581E9C">
            <w:pPr>
              <w:tabs>
                <w:tab w:val="left" w:pos="360"/>
              </w:tabs>
              <w:jc w:val="center"/>
              <w:rPr>
                <w:rFonts w:ascii="Times New Roman" w:hAnsi="Times New Roman" w:cs="Times New Roman"/>
              </w:rPr>
            </w:pPr>
          </w:p>
        </w:tc>
        <w:tc>
          <w:tcPr>
            <w:tcW w:w="990" w:type="dxa"/>
            <w:shd w:val="clear" w:color="auto" w:fill="F2F2F2" w:themeFill="background1" w:themeFillShade="F2"/>
          </w:tcPr>
          <w:p w:rsidR="004F7FCD" w:rsidRPr="005440CB" w:rsidRDefault="004F7FCD" w:rsidP="00581E9C">
            <w:pPr>
              <w:tabs>
                <w:tab w:val="left" w:pos="360"/>
              </w:tabs>
              <w:jc w:val="center"/>
              <w:rPr>
                <w:rFonts w:ascii="Times New Roman" w:hAnsi="Times New Roman" w:cs="Times New Roman"/>
                <w:sz w:val="20"/>
                <w:szCs w:val="20"/>
              </w:rPr>
            </w:pPr>
            <w:r w:rsidRPr="005440CB">
              <w:rPr>
                <w:rFonts w:ascii="Times New Roman" w:hAnsi="Times New Roman" w:cs="Times New Roman"/>
                <w:sz w:val="20"/>
                <w:szCs w:val="20"/>
              </w:rPr>
              <w:t>Low</w:t>
            </w:r>
          </w:p>
        </w:tc>
        <w:tc>
          <w:tcPr>
            <w:tcW w:w="1260" w:type="dxa"/>
            <w:shd w:val="clear" w:color="auto" w:fill="D9D9D9" w:themeFill="background1" w:themeFillShade="D9"/>
          </w:tcPr>
          <w:p w:rsidR="004F7FCD" w:rsidRPr="005440CB" w:rsidRDefault="004F7FCD" w:rsidP="00581E9C">
            <w:pPr>
              <w:tabs>
                <w:tab w:val="left" w:pos="360"/>
              </w:tabs>
              <w:jc w:val="center"/>
              <w:rPr>
                <w:rFonts w:ascii="Times New Roman" w:hAnsi="Times New Roman" w:cs="Times New Roman"/>
                <w:sz w:val="20"/>
                <w:szCs w:val="20"/>
              </w:rPr>
            </w:pPr>
            <w:r w:rsidRPr="005440CB">
              <w:rPr>
                <w:rFonts w:ascii="Times New Roman" w:hAnsi="Times New Roman" w:cs="Times New Roman"/>
                <w:sz w:val="20"/>
                <w:szCs w:val="20"/>
              </w:rPr>
              <w:t>Medium</w:t>
            </w:r>
          </w:p>
        </w:tc>
        <w:tc>
          <w:tcPr>
            <w:tcW w:w="1170" w:type="dxa"/>
            <w:shd w:val="pct12" w:color="auto" w:fill="auto"/>
          </w:tcPr>
          <w:p w:rsidR="004F7FCD" w:rsidRPr="005440CB" w:rsidRDefault="004F7FCD" w:rsidP="00581E9C">
            <w:pPr>
              <w:tabs>
                <w:tab w:val="left" w:pos="360"/>
              </w:tabs>
              <w:jc w:val="center"/>
              <w:rPr>
                <w:rFonts w:ascii="Times New Roman" w:hAnsi="Times New Roman" w:cs="Times New Roman"/>
                <w:sz w:val="20"/>
                <w:szCs w:val="20"/>
              </w:rPr>
            </w:pPr>
            <w:r w:rsidRPr="005440CB">
              <w:rPr>
                <w:rFonts w:ascii="Times New Roman" w:hAnsi="Times New Roman" w:cs="Times New Roman"/>
                <w:sz w:val="20"/>
                <w:szCs w:val="20"/>
              </w:rPr>
              <w:t>High</w:t>
            </w:r>
          </w:p>
        </w:tc>
      </w:tr>
      <w:tr w:rsidR="004F7FCD" w:rsidRPr="005440CB" w:rsidTr="005440CB">
        <w:tc>
          <w:tcPr>
            <w:tcW w:w="6120" w:type="dxa"/>
          </w:tcPr>
          <w:p w:rsidR="004F7FCD" w:rsidRPr="005440CB" w:rsidRDefault="004F7FCD" w:rsidP="00581E9C">
            <w:pPr>
              <w:tabs>
                <w:tab w:val="left" w:pos="360"/>
              </w:tabs>
              <w:jc w:val="center"/>
              <w:rPr>
                <w:rFonts w:ascii="Times New Roman" w:hAnsi="Times New Roman" w:cs="Times New Roman"/>
                <w:b/>
              </w:rPr>
            </w:pPr>
            <w:r w:rsidRPr="005440CB">
              <w:rPr>
                <w:rFonts w:ascii="Times New Roman" w:hAnsi="Times New Roman" w:cs="Times New Roman"/>
                <w:b/>
              </w:rPr>
              <w:t>ABET Outcome</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tabs>
                <w:tab w:val="left" w:pos="360"/>
              </w:tabs>
              <w:rPr>
                <w:rFonts w:ascii="Times New Roman" w:hAnsi="Times New Roman" w:cs="Times New Roman"/>
              </w:rPr>
            </w:pPr>
            <w:r w:rsidRPr="005440CB">
              <w:rPr>
                <w:rFonts w:ascii="Times New Roman" w:eastAsiaTheme="minorHAnsi" w:hAnsi="Times New Roman" w:cs="Times New Roman"/>
              </w:rPr>
              <w:t>(a) an ability to apply knowledge of mathematics, science, and engineering</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5440CB" w:rsidP="00581E9C">
            <w:pPr>
              <w:tabs>
                <w:tab w:val="left" w:pos="360"/>
              </w:tabs>
              <w:jc w:val="center"/>
              <w:rPr>
                <w:rFonts w:ascii="Times New Roman" w:hAnsi="Times New Roman" w:cs="Times New Roman"/>
              </w:rPr>
            </w:pPr>
            <w:r>
              <w:rPr>
                <w:rFonts w:ascii="Times New Roman" w:hAnsi="Times New Roman" w:cs="Times New Roman"/>
              </w:rPr>
              <w:t>X</w:t>
            </w:r>
          </w:p>
        </w:tc>
      </w:tr>
      <w:tr w:rsidR="004F7FCD" w:rsidRPr="005440CB" w:rsidTr="005440CB">
        <w:tc>
          <w:tcPr>
            <w:tcW w:w="6120" w:type="dxa"/>
          </w:tcPr>
          <w:p w:rsidR="004F7FCD" w:rsidRPr="005440CB" w:rsidRDefault="004F7FCD" w:rsidP="00581E9C">
            <w:pPr>
              <w:tabs>
                <w:tab w:val="left" w:pos="360"/>
              </w:tabs>
              <w:rPr>
                <w:rFonts w:ascii="Times New Roman" w:hAnsi="Times New Roman" w:cs="Times New Roman"/>
              </w:rPr>
            </w:pPr>
            <w:r w:rsidRPr="005440CB">
              <w:rPr>
                <w:rFonts w:ascii="Times New Roman" w:eastAsiaTheme="minorHAnsi" w:hAnsi="Times New Roman" w:cs="Times New Roman"/>
              </w:rPr>
              <w:t>(b) an ability to design and conduct experiments, as well as to analyze and interpret data</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autoSpaceDE w:val="0"/>
              <w:autoSpaceDN w:val="0"/>
              <w:adjustRightInd w:val="0"/>
              <w:rPr>
                <w:rFonts w:ascii="Times New Roman" w:hAnsi="Times New Roman" w:cs="Times New Roman"/>
              </w:rPr>
            </w:pPr>
            <w:r w:rsidRPr="005440CB">
              <w:rPr>
                <w:rFonts w:ascii="Times New Roman" w:eastAsiaTheme="minorHAnsi" w:hAnsi="Times New Roman" w:cs="Times New Roman"/>
              </w:rPr>
              <w:t>(c) an ability to design a system, component, or process to meet desired needs within realistic constraints such as economic, environmental, social, political, ethical, health and safety, manufacturability, and sustainability</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tabs>
                <w:tab w:val="left" w:pos="360"/>
              </w:tabs>
              <w:rPr>
                <w:rFonts w:ascii="Times New Roman" w:hAnsi="Times New Roman" w:cs="Times New Roman"/>
              </w:rPr>
            </w:pPr>
            <w:r w:rsidRPr="005440CB">
              <w:rPr>
                <w:rFonts w:ascii="Times New Roman" w:eastAsiaTheme="minorHAnsi" w:hAnsi="Times New Roman" w:cs="Times New Roman"/>
              </w:rPr>
              <w:t>(d) an ability to function on multidisciplinary teams</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tabs>
                <w:tab w:val="left" w:pos="360"/>
              </w:tabs>
              <w:rPr>
                <w:rFonts w:ascii="Times New Roman" w:hAnsi="Times New Roman" w:cs="Times New Roman"/>
              </w:rPr>
            </w:pPr>
            <w:r w:rsidRPr="005440CB">
              <w:rPr>
                <w:rFonts w:ascii="Times New Roman" w:eastAsiaTheme="minorHAnsi" w:hAnsi="Times New Roman" w:cs="Times New Roman"/>
              </w:rPr>
              <w:t>(e) an ability to identify, formulate, and solve engineering problems</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autoSpaceDE w:val="0"/>
              <w:autoSpaceDN w:val="0"/>
              <w:adjustRightInd w:val="0"/>
              <w:rPr>
                <w:rFonts w:ascii="Times New Roman" w:eastAsiaTheme="minorHAnsi" w:hAnsi="Times New Roman" w:cs="Times New Roman"/>
              </w:rPr>
            </w:pPr>
            <w:r w:rsidRPr="005440CB">
              <w:rPr>
                <w:rFonts w:ascii="Times New Roman" w:eastAsiaTheme="minorHAnsi" w:hAnsi="Times New Roman" w:cs="Times New Roman"/>
              </w:rPr>
              <w:t>(g) an ability to communicate effectively</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tabs>
                <w:tab w:val="left" w:pos="360"/>
              </w:tabs>
              <w:rPr>
                <w:rFonts w:ascii="Times New Roman" w:hAnsi="Times New Roman" w:cs="Times New Roman"/>
              </w:rPr>
            </w:pPr>
            <w:r w:rsidRPr="005440CB">
              <w:rPr>
                <w:rFonts w:ascii="Times New Roman" w:eastAsiaTheme="minorHAnsi" w:hAnsi="Times New Roman" w:cs="Times New Roman"/>
              </w:rPr>
              <w:t>(h) the broad education necessary to understand the impact of engineering solutions in a global, economic, environmental, and societal context</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autoSpaceDE w:val="0"/>
              <w:autoSpaceDN w:val="0"/>
              <w:adjustRightInd w:val="0"/>
              <w:rPr>
                <w:rFonts w:ascii="Times New Roman" w:eastAsiaTheme="minorHAnsi" w:hAnsi="Times New Roman" w:cs="Times New Roman"/>
              </w:rPr>
            </w:pPr>
            <w:r w:rsidRPr="005440CB">
              <w:rPr>
                <w:rFonts w:ascii="Times New Roman" w:eastAsiaTheme="minorHAnsi" w:hAnsi="Times New Roman" w:cs="Times New Roman"/>
              </w:rPr>
              <w:t>(i) a recognition of the need for, and an ability to engage in life-long learning</w:t>
            </w:r>
          </w:p>
        </w:tc>
        <w:tc>
          <w:tcPr>
            <w:tcW w:w="990" w:type="dxa"/>
          </w:tcPr>
          <w:p w:rsidR="004F7FCD" w:rsidRPr="005440CB" w:rsidRDefault="004F7FCD" w:rsidP="00581E9C">
            <w:pPr>
              <w:tabs>
                <w:tab w:val="left" w:pos="360"/>
              </w:tabs>
              <w:jc w:val="center"/>
              <w:rPr>
                <w:rFonts w:ascii="Times New Roman" w:hAnsi="Times New Roman" w:cs="Times New Roman"/>
              </w:rPr>
            </w:pPr>
          </w:p>
        </w:tc>
        <w:tc>
          <w:tcPr>
            <w:tcW w:w="1260" w:type="dxa"/>
          </w:tcPr>
          <w:p w:rsidR="004F7FCD" w:rsidRPr="005440CB" w:rsidRDefault="004F7FCD" w:rsidP="00581E9C">
            <w:pPr>
              <w:tabs>
                <w:tab w:val="left" w:pos="360"/>
              </w:tabs>
              <w:jc w:val="center"/>
              <w:rPr>
                <w:rFonts w:ascii="Times New Roman" w:hAnsi="Times New Roman" w:cs="Times New Roman"/>
              </w:rPr>
            </w:pPr>
          </w:p>
        </w:tc>
        <w:tc>
          <w:tcPr>
            <w:tcW w:w="1170" w:type="dxa"/>
          </w:tcPr>
          <w:p w:rsidR="004F7FCD" w:rsidRPr="005440CB" w:rsidRDefault="004F7FCD" w:rsidP="00581E9C">
            <w:pPr>
              <w:tabs>
                <w:tab w:val="left" w:pos="360"/>
              </w:tabs>
              <w:jc w:val="center"/>
              <w:rPr>
                <w:rFonts w:ascii="Times New Roman" w:hAnsi="Times New Roman" w:cs="Times New Roman"/>
              </w:rPr>
            </w:pPr>
          </w:p>
        </w:tc>
      </w:tr>
      <w:tr w:rsidR="004F7FCD" w:rsidRPr="005440CB" w:rsidTr="005440CB">
        <w:tc>
          <w:tcPr>
            <w:tcW w:w="6120" w:type="dxa"/>
          </w:tcPr>
          <w:p w:rsidR="004F7FCD" w:rsidRPr="005440CB" w:rsidRDefault="004F7FCD" w:rsidP="00581E9C">
            <w:pPr>
              <w:autoSpaceDE w:val="0"/>
              <w:autoSpaceDN w:val="0"/>
              <w:adjustRightInd w:val="0"/>
              <w:rPr>
                <w:rFonts w:ascii="Times New Roman" w:eastAsiaTheme="minorHAnsi" w:hAnsi="Times New Roman" w:cs="Times New Roman"/>
              </w:rPr>
            </w:pPr>
            <w:r w:rsidRPr="005440CB">
              <w:rPr>
                <w:rFonts w:ascii="Times New Roman" w:eastAsiaTheme="minorHAnsi" w:hAnsi="Times New Roman" w:cs="Times New Roman"/>
              </w:rPr>
              <w:t>(j) a knowledge of contemporary issues</w:t>
            </w:r>
          </w:p>
        </w:tc>
        <w:tc>
          <w:tcPr>
            <w:tcW w:w="990" w:type="dxa"/>
          </w:tcPr>
          <w:p w:rsidR="004F7FCD" w:rsidRPr="005440CB" w:rsidRDefault="004F7FCD" w:rsidP="00581E9C">
            <w:pPr>
              <w:tabs>
                <w:tab w:val="left" w:pos="360"/>
              </w:tabs>
              <w:rPr>
                <w:rFonts w:ascii="Times New Roman" w:hAnsi="Times New Roman" w:cs="Times New Roman"/>
              </w:rPr>
            </w:pPr>
          </w:p>
        </w:tc>
        <w:tc>
          <w:tcPr>
            <w:tcW w:w="1260" w:type="dxa"/>
          </w:tcPr>
          <w:p w:rsidR="004F7FCD" w:rsidRPr="005440CB" w:rsidRDefault="004F7FCD" w:rsidP="00581E9C">
            <w:pPr>
              <w:tabs>
                <w:tab w:val="left" w:pos="360"/>
              </w:tabs>
              <w:rPr>
                <w:rFonts w:ascii="Times New Roman" w:hAnsi="Times New Roman" w:cs="Times New Roman"/>
              </w:rPr>
            </w:pPr>
          </w:p>
        </w:tc>
        <w:tc>
          <w:tcPr>
            <w:tcW w:w="1170" w:type="dxa"/>
          </w:tcPr>
          <w:p w:rsidR="004F7FCD" w:rsidRPr="005440CB" w:rsidRDefault="004F7FCD" w:rsidP="00581E9C">
            <w:pPr>
              <w:tabs>
                <w:tab w:val="left" w:pos="360"/>
              </w:tabs>
              <w:rPr>
                <w:rFonts w:ascii="Times New Roman" w:hAnsi="Times New Roman" w:cs="Times New Roman"/>
              </w:rPr>
            </w:pPr>
          </w:p>
        </w:tc>
      </w:tr>
      <w:tr w:rsidR="004F7FCD" w:rsidRPr="005440CB" w:rsidTr="005440CB">
        <w:tc>
          <w:tcPr>
            <w:tcW w:w="6120" w:type="dxa"/>
          </w:tcPr>
          <w:p w:rsidR="004F7FCD" w:rsidRPr="005440CB" w:rsidRDefault="004F7FCD" w:rsidP="00581E9C">
            <w:pPr>
              <w:autoSpaceDE w:val="0"/>
              <w:autoSpaceDN w:val="0"/>
              <w:adjustRightInd w:val="0"/>
              <w:rPr>
                <w:rFonts w:ascii="Times New Roman" w:hAnsi="Times New Roman" w:cs="Times New Roman"/>
                <w:bCs/>
              </w:rPr>
            </w:pPr>
            <w:r w:rsidRPr="005440CB">
              <w:rPr>
                <w:rFonts w:ascii="Times New Roman" w:eastAsiaTheme="minorHAnsi" w:hAnsi="Times New Roman" w:cs="Times New Roman"/>
              </w:rPr>
              <w:t>(k) an ability to use the techniques, skills, and modern engineering tools necessary for engineering practice.</w:t>
            </w:r>
          </w:p>
        </w:tc>
        <w:tc>
          <w:tcPr>
            <w:tcW w:w="990" w:type="dxa"/>
          </w:tcPr>
          <w:p w:rsidR="004F7FCD" w:rsidRPr="005440CB" w:rsidRDefault="004F7FCD" w:rsidP="00581E9C">
            <w:pPr>
              <w:tabs>
                <w:tab w:val="left" w:pos="360"/>
              </w:tabs>
              <w:rPr>
                <w:rFonts w:ascii="Times New Roman" w:hAnsi="Times New Roman" w:cs="Times New Roman"/>
              </w:rPr>
            </w:pPr>
          </w:p>
        </w:tc>
        <w:tc>
          <w:tcPr>
            <w:tcW w:w="1260" w:type="dxa"/>
          </w:tcPr>
          <w:p w:rsidR="004F7FCD" w:rsidRPr="005440CB" w:rsidRDefault="005440CB" w:rsidP="00581E9C">
            <w:pPr>
              <w:tabs>
                <w:tab w:val="left" w:pos="360"/>
              </w:tabs>
              <w:rPr>
                <w:rFonts w:ascii="Times New Roman" w:hAnsi="Times New Roman" w:cs="Times New Roman"/>
              </w:rPr>
            </w:pPr>
            <w:r>
              <w:rPr>
                <w:rFonts w:ascii="Times New Roman" w:hAnsi="Times New Roman" w:cs="Times New Roman"/>
              </w:rPr>
              <w:t>X</w:t>
            </w:r>
          </w:p>
        </w:tc>
        <w:tc>
          <w:tcPr>
            <w:tcW w:w="1170" w:type="dxa"/>
          </w:tcPr>
          <w:p w:rsidR="004F7FCD" w:rsidRPr="005440CB" w:rsidRDefault="004F7FCD" w:rsidP="00581E9C">
            <w:pPr>
              <w:tabs>
                <w:tab w:val="left" w:pos="360"/>
              </w:tabs>
              <w:rPr>
                <w:rFonts w:ascii="Times New Roman" w:hAnsi="Times New Roman" w:cs="Times New Roman"/>
              </w:rPr>
            </w:pPr>
          </w:p>
        </w:tc>
      </w:tr>
    </w:tbl>
    <w:p w:rsidR="004F7FCD" w:rsidRPr="005440CB" w:rsidRDefault="004F7FCD" w:rsidP="004F7FCD">
      <w:pPr>
        <w:tabs>
          <w:tab w:val="left" w:pos="360"/>
        </w:tabs>
        <w:ind w:left="360"/>
        <w:rPr>
          <w:rFonts w:ascii="Times New Roman" w:hAnsi="Times New Roman" w:cs="Times New Roman"/>
        </w:rPr>
      </w:pPr>
    </w:p>
    <w:p w:rsidR="008F719D" w:rsidRPr="00B77E4D" w:rsidRDefault="004F7FCD" w:rsidP="007E70FD">
      <w:r w:rsidRPr="005440CB">
        <w:rPr>
          <w:rFonts w:ascii="Times New Roman" w:hAnsi="Times New Roman" w:cs="Times New Roman"/>
          <w:b/>
          <w:smallCaps/>
        </w:rPr>
        <w:t>Prepared By</w:t>
      </w:r>
      <w:r w:rsidRPr="005440CB">
        <w:rPr>
          <w:rFonts w:ascii="Times New Roman" w:hAnsi="Times New Roman" w:cs="Times New Roman"/>
          <w:b/>
        </w:rPr>
        <w:t xml:space="preserve">:  </w:t>
      </w:r>
      <w:r w:rsidRPr="005440CB">
        <w:rPr>
          <w:rFonts w:ascii="Times New Roman" w:hAnsi="Times New Roman" w:cs="Times New Roman"/>
        </w:rPr>
        <w:t xml:space="preserve">Dr. </w:t>
      </w:r>
      <w:r w:rsidR="001275A5" w:rsidRPr="005440CB">
        <w:rPr>
          <w:rFonts w:ascii="Times New Roman" w:hAnsi="Times New Roman" w:cs="Times New Roman"/>
        </w:rPr>
        <w:t>Kyle Riley</w:t>
      </w:r>
      <w:r w:rsidR="00011872" w:rsidRPr="005440CB">
        <w:rPr>
          <w:rFonts w:ascii="Times New Roman" w:hAnsi="Times New Roman" w:cs="Times New Roman"/>
        </w:rPr>
        <w:t>,</w:t>
      </w:r>
      <w:r w:rsidR="00011872" w:rsidRPr="005440CB">
        <w:rPr>
          <w:rFonts w:ascii="Times New Roman" w:hAnsi="Times New Roman"/>
        </w:rPr>
        <w:t xml:space="preserve"> </w:t>
      </w:r>
      <w:r w:rsidR="00D452AB">
        <w:rPr>
          <w:rFonts w:ascii="Times New Roman" w:hAnsi="Times New Roman"/>
        </w:rPr>
        <w:t>Department Chair</w:t>
      </w:r>
      <w:r w:rsidRPr="005440CB">
        <w:rPr>
          <w:rFonts w:ascii="Times New Roman" w:hAnsi="Times New Roman"/>
        </w:rPr>
        <w:t xml:space="preserve">; </w:t>
      </w:r>
      <w:r w:rsidR="005440CB">
        <w:rPr>
          <w:rFonts w:ascii="Times New Roman" w:hAnsi="Times New Roman"/>
        </w:rPr>
        <w:t xml:space="preserve">June </w:t>
      </w:r>
      <w:r w:rsidR="005E2DF6" w:rsidRPr="005440CB">
        <w:rPr>
          <w:rFonts w:ascii="Times New Roman" w:hAnsi="Times New Roman"/>
        </w:rPr>
        <w:t>1</w:t>
      </w:r>
      <w:r w:rsidRPr="005440CB">
        <w:rPr>
          <w:rFonts w:ascii="Times New Roman" w:hAnsi="Times New Roman"/>
        </w:rPr>
        <w:t>, 2010</w:t>
      </w:r>
    </w:p>
    <w:sectPr w:rsidR="008F719D" w:rsidRPr="00B77E4D"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E1"/>
    <w:multiLevelType w:val="hybridMultilevel"/>
    <w:tmpl w:val="22CC55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F92399"/>
    <w:multiLevelType w:val="hybridMultilevel"/>
    <w:tmpl w:val="A094C5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517E25"/>
    <w:multiLevelType w:val="hybridMultilevel"/>
    <w:tmpl w:val="59CA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62E15"/>
    <w:multiLevelType w:val="hybridMultilevel"/>
    <w:tmpl w:val="3E5CE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6D20DF7"/>
    <w:multiLevelType w:val="multilevel"/>
    <w:tmpl w:val="CAF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097E"/>
    <w:multiLevelType w:val="hybridMultilevel"/>
    <w:tmpl w:val="C944D7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B1C4594"/>
    <w:multiLevelType w:val="multilevel"/>
    <w:tmpl w:val="0EE48BB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38BB8E"/>
    <w:multiLevelType w:val="hybridMultilevel"/>
    <w:tmpl w:val="876C1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32A64"/>
    <w:multiLevelType w:val="multilevel"/>
    <w:tmpl w:val="E7C0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0"/>
  </w:num>
  <w:num w:numId="5">
    <w:abstractNumId w:val="12"/>
  </w:num>
  <w:num w:numId="6">
    <w:abstractNumId w:val="2"/>
  </w:num>
  <w:num w:numId="7">
    <w:abstractNumId w:val="9"/>
  </w:num>
  <w:num w:numId="8">
    <w:abstractNumId w:val="6"/>
  </w:num>
  <w:num w:numId="9">
    <w:abstractNumId w:val="1"/>
  </w:num>
  <w:num w:numId="10">
    <w:abstractNumId w:val="7"/>
  </w:num>
  <w:num w:numId="11">
    <w:abstractNumId w:val="3"/>
  </w:num>
  <w:num w:numId="12">
    <w:abstractNumId w:val="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F7FCD"/>
    <w:rsid w:val="00004D3C"/>
    <w:rsid w:val="00011872"/>
    <w:rsid w:val="00036F93"/>
    <w:rsid w:val="001275A5"/>
    <w:rsid w:val="00171C1C"/>
    <w:rsid w:val="003B14D5"/>
    <w:rsid w:val="003F1AA7"/>
    <w:rsid w:val="0044006D"/>
    <w:rsid w:val="004F7FCD"/>
    <w:rsid w:val="005165CF"/>
    <w:rsid w:val="00542CA6"/>
    <w:rsid w:val="005440CB"/>
    <w:rsid w:val="005621A0"/>
    <w:rsid w:val="005B0182"/>
    <w:rsid w:val="005D3C21"/>
    <w:rsid w:val="005E2DF6"/>
    <w:rsid w:val="0066229E"/>
    <w:rsid w:val="00671C71"/>
    <w:rsid w:val="0069190B"/>
    <w:rsid w:val="007D6B2E"/>
    <w:rsid w:val="007E70FD"/>
    <w:rsid w:val="00817FEA"/>
    <w:rsid w:val="008647EF"/>
    <w:rsid w:val="00867A3B"/>
    <w:rsid w:val="008B162B"/>
    <w:rsid w:val="008F719D"/>
    <w:rsid w:val="009B1C1A"/>
    <w:rsid w:val="00A0787C"/>
    <w:rsid w:val="00A47D90"/>
    <w:rsid w:val="00AF62AB"/>
    <w:rsid w:val="00B01C44"/>
    <w:rsid w:val="00B071D2"/>
    <w:rsid w:val="00B77E4D"/>
    <w:rsid w:val="00BF17D3"/>
    <w:rsid w:val="00C71C66"/>
    <w:rsid w:val="00C846E2"/>
    <w:rsid w:val="00C876D6"/>
    <w:rsid w:val="00D452AB"/>
    <w:rsid w:val="00D77107"/>
    <w:rsid w:val="00D927B3"/>
    <w:rsid w:val="00E06B1D"/>
    <w:rsid w:val="00E43BA0"/>
    <w:rsid w:val="00EE493C"/>
    <w:rsid w:val="00F40973"/>
    <w:rsid w:val="00F9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D5"/>
  </w:style>
  <w:style w:type="paragraph" w:styleId="Heading1">
    <w:name w:val="heading 1"/>
    <w:basedOn w:val="Normal"/>
    <w:next w:val="Normal"/>
    <w:link w:val="Heading1Char"/>
    <w:uiPriority w:val="9"/>
    <w:qFormat/>
    <w:rsid w:val="003B14D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B14D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B14D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B14D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B14D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B14D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B14D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B14D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B14D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B14D5"/>
    <w:pPr>
      <w:ind w:firstLine="0"/>
    </w:pPr>
  </w:style>
  <w:style w:type="table" w:styleId="TableGrid">
    <w:name w:val="Table Grid"/>
    <w:basedOn w:val="TableNormal"/>
    <w:uiPriority w:val="59"/>
    <w:rsid w:val="004F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14D5"/>
    <w:pPr>
      <w:ind w:left="720"/>
      <w:contextualSpacing/>
    </w:pPr>
  </w:style>
  <w:style w:type="paragraph" w:customStyle="1" w:styleId="Default">
    <w:name w:val="Default"/>
    <w:rsid w:val="00171C1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B14D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B14D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B14D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B14D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B14D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B14D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B14D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B14D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B14D5"/>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3B14D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B14D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B14D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B14D5"/>
    <w:rPr>
      <w:rFonts w:asciiTheme="minorHAnsi"/>
      <w:i/>
      <w:iCs/>
      <w:sz w:val="24"/>
      <w:szCs w:val="24"/>
    </w:rPr>
  </w:style>
  <w:style w:type="character" w:styleId="Strong">
    <w:name w:val="Strong"/>
    <w:basedOn w:val="DefaultParagraphFont"/>
    <w:uiPriority w:val="22"/>
    <w:qFormat/>
    <w:rsid w:val="003B14D5"/>
    <w:rPr>
      <w:b/>
      <w:bCs/>
      <w:spacing w:val="0"/>
    </w:rPr>
  </w:style>
  <w:style w:type="character" w:styleId="Emphasis">
    <w:name w:val="Emphasis"/>
    <w:uiPriority w:val="20"/>
    <w:qFormat/>
    <w:rsid w:val="003B14D5"/>
    <w:rPr>
      <w:b/>
      <w:bCs/>
      <w:i/>
      <w:iCs/>
      <w:color w:val="5A5A5A" w:themeColor="text1" w:themeTint="A5"/>
    </w:rPr>
  </w:style>
  <w:style w:type="paragraph" w:styleId="Quote">
    <w:name w:val="Quote"/>
    <w:basedOn w:val="Normal"/>
    <w:next w:val="Normal"/>
    <w:link w:val="QuoteChar"/>
    <w:uiPriority w:val="29"/>
    <w:qFormat/>
    <w:rsid w:val="003B14D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B14D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B14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B14D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B14D5"/>
    <w:rPr>
      <w:i/>
      <w:iCs/>
      <w:color w:val="5A5A5A" w:themeColor="text1" w:themeTint="A5"/>
    </w:rPr>
  </w:style>
  <w:style w:type="character" w:styleId="IntenseEmphasis">
    <w:name w:val="Intense Emphasis"/>
    <w:uiPriority w:val="21"/>
    <w:qFormat/>
    <w:rsid w:val="003B14D5"/>
    <w:rPr>
      <w:b/>
      <w:bCs/>
      <w:i/>
      <w:iCs/>
      <w:color w:val="4F81BD" w:themeColor="accent1"/>
      <w:sz w:val="22"/>
      <w:szCs w:val="22"/>
    </w:rPr>
  </w:style>
  <w:style w:type="character" w:styleId="SubtleReference">
    <w:name w:val="Subtle Reference"/>
    <w:uiPriority w:val="31"/>
    <w:qFormat/>
    <w:rsid w:val="003B14D5"/>
    <w:rPr>
      <w:color w:val="auto"/>
      <w:u w:val="single" w:color="9BBB59" w:themeColor="accent3"/>
    </w:rPr>
  </w:style>
  <w:style w:type="character" w:styleId="IntenseReference">
    <w:name w:val="Intense Reference"/>
    <w:basedOn w:val="DefaultParagraphFont"/>
    <w:uiPriority w:val="32"/>
    <w:qFormat/>
    <w:rsid w:val="003B14D5"/>
    <w:rPr>
      <w:b/>
      <w:bCs/>
      <w:color w:val="76923C" w:themeColor="accent3" w:themeShade="BF"/>
      <w:u w:val="single" w:color="9BBB59" w:themeColor="accent3"/>
    </w:rPr>
  </w:style>
  <w:style w:type="character" w:styleId="BookTitle">
    <w:name w:val="Book Title"/>
    <w:basedOn w:val="DefaultParagraphFont"/>
    <w:uiPriority w:val="33"/>
    <w:qFormat/>
    <w:rsid w:val="003B14D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B14D5"/>
    <w:pPr>
      <w:outlineLvl w:val="9"/>
    </w:pPr>
  </w:style>
  <w:style w:type="paragraph" w:styleId="NormalWeb">
    <w:name w:val="Normal (Web)"/>
    <w:basedOn w:val="Normal"/>
    <w:uiPriority w:val="99"/>
    <w:unhideWhenUsed/>
    <w:rsid w:val="00B01C44"/>
    <w:pPr>
      <w:spacing w:before="100" w:beforeAutospacing="1" w:after="100" w:afterAutospacing="1"/>
    </w:pPr>
    <w:rPr>
      <w:rFonts w:ascii="Times New Roman" w:eastAsia="Times New Roman" w:hAnsi="Times New Roman"/>
      <w:lang w:bidi="ar-SA"/>
    </w:rPr>
  </w:style>
  <w:style w:type="paragraph" w:styleId="Caption">
    <w:name w:val="caption"/>
    <w:basedOn w:val="Normal"/>
    <w:next w:val="Normal"/>
    <w:uiPriority w:val="35"/>
    <w:semiHidden/>
    <w:unhideWhenUsed/>
    <w:qFormat/>
    <w:rsid w:val="003B14D5"/>
    <w:rPr>
      <w:b/>
      <w:bCs/>
      <w:sz w:val="18"/>
      <w:szCs w:val="18"/>
    </w:rPr>
  </w:style>
  <w:style w:type="character" w:customStyle="1" w:styleId="NoSpacingChar">
    <w:name w:val="No Spacing Char"/>
    <w:basedOn w:val="DefaultParagraphFont"/>
    <w:link w:val="NoSpacing"/>
    <w:uiPriority w:val="1"/>
    <w:rsid w:val="003B14D5"/>
  </w:style>
</w:styles>
</file>

<file path=word/webSettings.xml><?xml version="1.0" encoding="utf-8"?>
<w:webSettings xmlns:r="http://schemas.openxmlformats.org/officeDocument/2006/relationships" xmlns:w="http://schemas.openxmlformats.org/wordprocessingml/2006/main">
  <w:divs>
    <w:div w:id="957685966">
      <w:bodyDiv w:val="1"/>
      <w:marLeft w:val="0"/>
      <w:marRight w:val="0"/>
      <w:marTop w:val="0"/>
      <w:marBottom w:val="0"/>
      <w:divBdr>
        <w:top w:val="none" w:sz="0" w:space="0" w:color="auto"/>
        <w:left w:val="none" w:sz="0" w:space="0" w:color="auto"/>
        <w:bottom w:val="none" w:sz="0" w:space="0" w:color="auto"/>
        <w:right w:val="none" w:sz="0" w:space="0" w:color="auto"/>
      </w:divBdr>
    </w:div>
    <w:div w:id="1083182918">
      <w:bodyDiv w:val="1"/>
      <w:marLeft w:val="0"/>
      <w:marRight w:val="0"/>
      <w:marTop w:val="0"/>
      <w:marBottom w:val="0"/>
      <w:divBdr>
        <w:top w:val="none" w:sz="0" w:space="0" w:color="auto"/>
        <w:left w:val="none" w:sz="0" w:space="0" w:color="auto"/>
        <w:bottom w:val="none" w:sz="0" w:space="0" w:color="auto"/>
        <w:right w:val="none" w:sz="0" w:space="0" w:color="auto"/>
      </w:divBdr>
    </w:div>
    <w:div w:id="14117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kjansak</dc:creator>
  <cp:lastModifiedBy>kjansak</cp:lastModifiedBy>
  <cp:revision>2</cp:revision>
  <dcterms:created xsi:type="dcterms:W3CDTF">2010-06-22T14:21:00Z</dcterms:created>
  <dcterms:modified xsi:type="dcterms:W3CDTF">2010-06-22T14:21:00Z</dcterms:modified>
</cp:coreProperties>
</file>