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CD" w:rsidRPr="00171C1C" w:rsidRDefault="00DF1A66" w:rsidP="00DF1A66">
      <w:pPr>
        <w:tabs>
          <w:tab w:val="center" w:pos="4680"/>
        </w:tabs>
        <w:suppressAutoHyphens/>
        <w:spacing w:after="0"/>
        <w:jc w:val="center"/>
        <w:rPr>
          <w:rFonts w:ascii="Times New Roman" w:hAnsi="Times New Roman"/>
          <w:b/>
          <w:smallCaps/>
          <w:color w:val="0000FF"/>
        </w:rPr>
      </w:pPr>
      <w:r w:rsidRPr="00DF1A66">
        <w:rPr>
          <w:rFonts w:ascii="Times New Roman" w:eastAsiaTheme="minorHAnsi" w:hAnsi="Times New Roman"/>
          <w:b/>
          <w:bCs/>
          <w:color w:val="000000"/>
          <w:sz w:val="20"/>
          <w:szCs w:val="20"/>
        </w:rPr>
        <w:t>ENGL 279 TECHNICAL COMMUNICATIONS I</w:t>
      </w:r>
    </w:p>
    <w:p w:rsidR="004F7FCD" w:rsidRPr="00B77E4D" w:rsidRDefault="004F7FCD" w:rsidP="004F7FCD">
      <w:pPr>
        <w:tabs>
          <w:tab w:val="center" w:pos="4680"/>
        </w:tabs>
        <w:suppressAutoHyphens/>
        <w:spacing w:after="0"/>
        <w:jc w:val="both"/>
        <w:rPr>
          <w:rFonts w:ascii="Times New Roman" w:hAnsi="Times New Roman"/>
          <w:b/>
          <w:smallCaps/>
        </w:rPr>
      </w:pPr>
    </w:p>
    <w:p w:rsidR="004F7FCD" w:rsidRPr="00B77E4D" w:rsidRDefault="004F7FCD" w:rsidP="004F7FCD">
      <w:pPr>
        <w:spacing w:after="0"/>
        <w:outlineLvl w:val="0"/>
        <w:rPr>
          <w:rFonts w:ascii="Times New Roman" w:hAnsi="Times New Roman"/>
          <w:b/>
        </w:rPr>
      </w:pPr>
      <w:r w:rsidRPr="00B77E4D">
        <w:rPr>
          <w:rFonts w:ascii="Times New Roman" w:hAnsi="Times New Roman"/>
          <w:b/>
        </w:rPr>
        <w:t>Department:</w:t>
      </w:r>
      <w:r w:rsidRPr="00B77E4D">
        <w:rPr>
          <w:rFonts w:ascii="Times New Roman" w:hAnsi="Times New Roman"/>
          <w:b/>
        </w:rPr>
        <w:tab/>
      </w:r>
      <w:r w:rsidRPr="00B77E4D">
        <w:rPr>
          <w:rFonts w:ascii="Times New Roman" w:hAnsi="Times New Roman"/>
          <w:b/>
        </w:rPr>
        <w:tab/>
      </w:r>
      <w:r w:rsidR="00D03823" w:rsidRPr="00D03823">
        <w:rPr>
          <w:rFonts w:ascii="Times New Roman" w:hAnsi="Times New Roman"/>
        </w:rPr>
        <w:t>Humanities and Social Sciences</w:t>
      </w:r>
    </w:p>
    <w:p w:rsidR="004F7FCD" w:rsidRPr="00B77E4D" w:rsidRDefault="004F7FCD" w:rsidP="004F7FCD">
      <w:pPr>
        <w:spacing w:after="0"/>
        <w:outlineLvl w:val="0"/>
        <w:rPr>
          <w:rFonts w:ascii="Times New Roman" w:hAnsi="Times New Roman"/>
          <w:b/>
        </w:rPr>
      </w:pPr>
    </w:p>
    <w:p w:rsidR="004F7FCD" w:rsidRPr="00B77E4D" w:rsidRDefault="004F7FCD" w:rsidP="004F7FCD">
      <w:pPr>
        <w:spacing w:after="0"/>
        <w:outlineLvl w:val="0"/>
        <w:rPr>
          <w:rFonts w:ascii="Times New Roman" w:hAnsi="Times New Roman"/>
          <w:b/>
        </w:rPr>
      </w:pPr>
      <w:r w:rsidRPr="00B77E4D">
        <w:rPr>
          <w:rFonts w:ascii="Times New Roman" w:hAnsi="Times New Roman"/>
          <w:b/>
        </w:rPr>
        <w:t>Designation:</w:t>
      </w:r>
      <w:r w:rsidRPr="00B77E4D">
        <w:rPr>
          <w:rFonts w:ascii="Times New Roman" w:hAnsi="Times New Roman"/>
          <w:b/>
        </w:rPr>
        <w:tab/>
      </w:r>
      <w:r w:rsidRPr="00B77E4D">
        <w:rPr>
          <w:rFonts w:ascii="Times New Roman" w:hAnsi="Times New Roman"/>
          <w:b/>
        </w:rPr>
        <w:tab/>
      </w:r>
      <w:r w:rsidRPr="00087A94">
        <w:rPr>
          <w:rFonts w:ascii="Times New Roman" w:hAnsi="Times New Roman"/>
        </w:rPr>
        <w:t>Required</w:t>
      </w:r>
    </w:p>
    <w:p w:rsidR="004F7FCD" w:rsidRPr="00B77E4D" w:rsidRDefault="004F7FCD" w:rsidP="004F7FCD">
      <w:pPr>
        <w:spacing w:after="0"/>
        <w:outlineLvl w:val="0"/>
        <w:rPr>
          <w:rFonts w:ascii="Times New Roman" w:hAnsi="Times New Roman"/>
          <w:b/>
        </w:rPr>
      </w:pPr>
    </w:p>
    <w:p w:rsidR="00171C1C" w:rsidRPr="002D6636" w:rsidRDefault="004F7FCD" w:rsidP="005165CF">
      <w:pPr>
        <w:pStyle w:val="Default"/>
        <w:ind w:left="2160" w:hanging="2160"/>
        <w:rPr>
          <w:color w:val="auto"/>
          <w:sz w:val="22"/>
          <w:szCs w:val="22"/>
        </w:rPr>
      </w:pPr>
      <w:r w:rsidRPr="00B77E4D">
        <w:rPr>
          <w:b/>
          <w:color w:val="auto"/>
          <w:sz w:val="22"/>
          <w:szCs w:val="22"/>
        </w:rPr>
        <w:t>Catalog Data:</w:t>
      </w:r>
      <w:r w:rsidR="00171C1C" w:rsidRPr="00B77E4D">
        <w:rPr>
          <w:b/>
          <w:color w:val="auto"/>
          <w:sz w:val="22"/>
          <w:szCs w:val="22"/>
        </w:rPr>
        <w:tab/>
      </w:r>
      <w:r w:rsidR="00DF1A66" w:rsidRPr="00DF1A66">
        <w:rPr>
          <w:color w:val="auto"/>
          <w:sz w:val="22"/>
          <w:szCs w:val="22"/>
        </w:rPr>
        <w:t xml:space="preserve">(3-0) 3 credits. Prerequisites: ENGL 101 or equivalent and sophomore standing. </w:t>
      </w:r>
      <w:proofErr w:type="gramStart"/>
      <w:r w:rsidR="00DF1A66" w:rsidRPr="00DF1A66">
        <w:rPr>
          <w:color w:val="auto"/>
          <w:sz w:val="22"/>
          <w:szCs w:val="22"/>
        </w:rPr>
        <w:t>Introductory written and oral technical communications with emphasis on research and explanations of scientific and engineering topics.</w:t>
      </w:r>
      <w:proofErr w:type="gramEnd"/>
    </w:p>
    <w:p w:rsidR="004F7FCD" w:rsidRPr="00B77E4D" w:rsidRDefault="004F7FCD" w:rsidP="00171C1C">
      <w:pPr>
        <w:spacing w:after="0"/>
        <w:outlineLvl w:val="0"/>
        <w:rPr>
          <w:rFonts w:ascii="Times New Roman" w:hAnsi="Times New Roman"/>
          <w:b/>
        </w:rPr>
      </w:pPr>
    </w:p>
    <w:p w:rsidR="004F7FCD" w:rsidRPr="000749BC" w:rsidRDefault="004F7FCD" w:rsidP="000749BC">
      <w:pPr>
        <w:pStyle w:val="Default"/>
        <w:rPr>
          <w:b/>
          <w:color w:val="auto"/>
          <w:sz w:val="22"/>
          <w:szCs w:val="22"/>
        </w:rPr>
      </w:pPr>
      <w:r w:rsidRPr="00B77E4D">
        <w:rPr>
          <w:b/>
          <w:color w:val="auto"/>
          <w:sz w:val="22"/>
          <w:szCs w:val="22"/>
        </w:rPr>
        <w:t xml:space="preserve">Prerequisites: </w:t>
      </w:r>
      <w:r w:rsidRPr="00B77E4D">
        <w:rPr>
          <w:b/>
          <w:color w:val="auto"/>
          <w:sz w:val="22"/>
          <w:szCs w:val="22"/>
        </w:rPr>
        <w:tab/>
      </w:r>
      <w:r w:rsidRPr="00B77E4D">
        <w:rPr>
          <w:b/>
          <w:color w:val="auto"/>
          <w:sz w:val="22"/>
          <w:szCs w:val="22"/>
        </w:rPr>
        <w:tab/>
      </w:r>
      <w:r w:rsidR="00BD56F9" w:rsidRPr="00BD56F9">
        <w:rPr>
          <w:color w:val="auto"/>
          <w:sz w:val="22"/>
          <w:szCs w:val="22"/>
        </w:rPr>
        <w:t>ENGL 101 or equivalent and sophomore standing</w:t>
      </w:r>
    </w:p>
    <w:p w:rsidR="004F7FCD" w:rsidRPr="00B77E4D" w:rsidRDefault="004F7FCD" w:rsidP="004F7FCD">
      <w:pPr>
        <w:spacing w:after="0"/>
        <w:outlineLvl w:val="0"/>
        <w:rPr>
          <w:rFonts w:ascii="Times New Roman" w:hAnsi="Times New Roman"/>
          <w:b/>
        </w:rPr>
      </w:pPr>
    </w:p>
    <w:p w:rsidR="00BD56F9" w:rsidRDefault="004F7FCD" w:rsidP="009E46C5">
      <w:pPr>
        <w:spacing w:after="0"/>
        <w:ind w:left="2160" w:hanging="2160"/>
        <w:outlineLvl w:val="0"/>
        <w:rPr>
          <w:rFonts w:ascii="Times New Roman" w:hAnsi="Times New Roman"/>
        </w:rPr>
      </w:pPr>
      <w:r w:rsidRPr="00B77E4D">
        <w:rPr>
          <w:rFonts w:ascii="Times New Roman" w:hAnsi="Times New Roman"/>
          <w:b/>
        </w:rPr>
        <w:t xml:space="preserve">Textbook: </w:t>
      </w:r>
      <w:r w:rsidRPr="00B77E4D">
        <w:rPr>
          <w:rFonts w:ascii="Times New Roman" w:hAnsi="Times New Roman"/>
          <w:b/>
        </w:rPr>
        <w:tab/>
      </w:r>
      <w:proofErr w:type="spellStart"/>
      <w:r w:rsidR="00BD56F9" w:rsidRPr="00BD56F9">
        <w:rPr>
          <w:rFonts w:ascii="Times New Roman" w:hAnsi="Times New Roman"/>
        </w:rPr>
        <w:t>Brusaw</w:t>
      </w:r>
      <w:proofErr w:type="spellEnd"/>
      <w:r w:rsidR="00BD56F9" w:rsidRPr="00BD56F9">
        <w:rPr>
          <w:rFonts w:ascii="Times New Roman" w:hAnsi="Times New Roman"/>
        </w:rPr>
        <w:t xml:space="preserve">, Charles T., Gerald J. </w:t>
      </w:r>
      <w:proofErr w:type="spellStart"/>
      <w:r w:rsidR="00BD56F9" w:rsidRPr="00BD56F9">
        <w:rPr>
          <w:rFonts w:ascii="Times New Roman" w:hAnsi="Times New Roman"/>
        </w:rPr>
        <w:t>Alred</w:t>
      </w:r>
      <w:proofErr w:type="spellEnd"/>
      <w:r w:rsidR="00BD56F9" w:rsidRPr="00BD56F9">
        <w:rPr>
          <w:rFonts w:ascii="Times New Roman" w:hAnsi="Times New Roman"/>
        </w:rPr>
        <w:t xml:space="preserve">, and Walter E. </w:t>
      </w:r>
      <w:proofErr w:type="spellStart"/>
      <w:r w:rsidR="00BD56F9" w:rsidRPr="00BD56F9">
        <w:rPr>
          <w:rFonts w:ascii="Times New Roman" w:hAnsi="Times New Roman"/>
        </w:rPr>
        <w:t>Oliu</w:t>
      </w:r>
      <w:proofErr w:type="spellEnd"/>
      <w:r w:rsidR="00BD56F9" w:rsidRPr="00BD56F9">
        <w:rPr>
          <w:rFonts w:ascii="Times New Roman" w:hAnsi="Times New Roman"/>
        </w:rPr>
        <w:t xml:space="preserve">. </w:t>
      </w:r>
      <w:proofErr w:type="gramStart"/>
      <w:r w:rsidR="00BD56F9" w:rsidRPr="00BD56F9">
        <w:rPr>
          <w:rFonts w:ascii="Times New Roman" w:hAnsi="Times New Roman"/>
          <w:i/>
        </w:rPr>
        <w:t>Handbook of Technical Writing.</w:t>
      </w:r>
      <w:proofErr w:type="gramEnd"/>
      <w:r w:rsidR="00BD56F9" w:rsidRPr="00BD56F9">
        <w:rPr>
          <w:rFonts w:ascii="Times New Roman" w:hAnsi="Times New Roman"/>
          <w:i/>
        </w:rPr>
        <w:t xml:space="preserve"> </w:t>
      </w:r>
      <w:r w:rsidR="00BD56F9" w:rsidRPr="00BD56F9">
        <w:rPr>
          <w:rFonts w:ascii="Times New Roman" w:hAnsi="Times New Roman"/>
        </w:rPr>
        <w:t>9</w:t>
      </w:r>
      <w:r w:rsidR="00BD56F9" w:rsidRPr="00BD56F9">
        <w:rPr>
          <w:rFonts w:ascii="Times New Roman" w:hAnsi="Times New Roman"/>
          <w:vertAlign w:val="superscript"/>
        </w:rPr>
        <w:t>th</w:t>
      </w:r>
      <w:r w:rsidR="00BD56F9" w:rsidRPr="00BD56F9">
        <w:rPr>
          <w:rFonts w:ascii="Times New Roman" w:hAnsi="Times New Roman"/>
        </w:rPr>
        <w:t xml:space="preserve"> </w:t>
      </w:r>
      <w:proofErr w:type="gramStart"/>
      <w:r w:rsidR="00BD56F9" w:rsidRPr="00BD56F9">
        <w:rPr>
          <w:rFonts w:ascii="Times New Roman" w:hAnsi="Times New Roman"/>
        </w:rPr>
        <w:t>ed</w:t>
      </w:r>
      <w:proofErr w:type="gramEnd"/>
      <w:r w:rsidR="00BD56F9" w:rsidRPr="00BD56F9">
        <w:rPr>
          <w:rFonts w:ascii="Times New Roman" w:hAnsi="Times New Roman"/>
        </w:rPr>
        <w:t>. New York: Bedford/St. Martin’s P, 2009;</w:t>
      </w:r>
    </w:p>
    <w:p w:rsidR="00BD56F9" w:rsidRPr="009E46C5" w:rsidRDefault="00BD56F9" w:rsidP="009E46C5">
      <w:pPr>
        <w:spacing w:after="0"/>
        <w:ind w:left="2160"/>
        <w:outlineLvl w:val="0"/>
        <w:rPr>
          <w:rFonts w:ascii="Times New Roman" w:hAnsi="Times New Roman"/>
        </w:rPr>
      </w:pPr>
      <w:proofErr w:type="spellStart"/>
      <w:r w:rsidRPr="009E46C5">
        <w:rPr>
          <w:rFonts w:ascii="Times New Roman" w:hAnsi="Times New Roman"/>
        </w:rPr>
        <w:t>Lannon</w:t>
      </w:r>
      <w:proofErr w:type="spellEnd"/>
      <w:r w:rsidRPr="009E46C5">
        <w:rPr>
          <w:rFonts w:ascii="Times New Roman" w:hAnsi="Times New Roman"/>
        </w:rPr>
        <w:t xml:space="preserve">, John.  </w:t>
      </w:r>
      <w:proofErr w:type="gramStart"/>
      <w:r w:rsidRPr="009E46C5">
        <w:rPr>
          <w:rFonts w:ascii="Times New Roman" w:hAnsi="Times New Roman"/>
          <w:i/>
        </w:rPr>
        <w:t>Technical Communication</w:t>
      </w:r>
      <w:r w:rsidRPr="009E46C5">
        <w:rPr>
          <w:rFonts w:ascii="Times New Roman" w:hAnsi="Times New Roman"/>
        </w:rPr>
        <w:t>.</w:t>
      </w:r>
      <w:proofErr w:type="gramEnd"/>
      <w:r w:rsidRPr="009E46C5">
        <w:rPr>
          <w:rFonts w:ascii="Times New Roman" w:hAnsi="Times New Roman"/>
        </w:rPr>
        <w:t xml:space="preserve">  11</w:t>
      </w:r>
      <w:r w:rsidRPr="009E46C5">
        <w:rPr>
          <w:rFonts w:ascii="Times New Roman" w:hAnsi="Times New Roman"/>
          <w:vertAlign w:val="superscript"/>
        </w:rPr>
        <w:t>th</w:t>
      </w:r>
      <w:r w:rsidRPr="009E46C5">
        <w:rPr>
          <w:rFonts w:ascii="Times New Roman" w:hAnsi="Times New Roman"/>
        </w:rPr>
        <w:t xml:space="preserve"> </w:t>
      </w:r>
      <w:proofErr w:type="gramStart"/>
      <w:r w:rsidRPr="009E46C5">
        <w:rPr>
          <w:rFonts w:ascii="Times New Roman" w:hAnsi="Times New Roman"/>
        </w:rPr>
        <w:t>ed</w:t>
      </w:r>
      <w:proofErr w:type="gramEnd"/>
      <w:r w:rsidRPr="009E46C5">
        <w:rPr>
          <w:rFonts w:ascii="Times New Roman" w:hAnsi="Times New Roman"/>
        </w:rPr>
        <w:t>.  New York:  Pearson, 2008.</w:t>
      </w:r>
    </w:p>
    <w:p w:rsidR="00BD56F9" w:rsidRPr="00BD56F9" w:rsidRDefault="009E46C5" w:rsidP="00BD56F9">
      <w:pPr>
        <w:spacing w:after="0"/>
        <w:ind w:left="2160" w:hanging="2160"/>
        <w:outlineLvl w:val="0"/>
        <w:rPr>
          <w:rFonts w:ascii="Times New Roman" w:hAnsi="Times New Roman"/>
        </w:rPr>
      </w:pPr>
      <w:r>
        <w:rPr>
          <w:rFonts w:ascii="Times New Roman" w:hAnsi="Times New Roman"/>
        </w:rPr>
        <w:tab/>
        <w:t>Instruction Manual</w:t>
      </w:r>
    </w:p>
    <w:p w:rsidR="00BD56F9" w:rsidRPr="000749BC" w:rsidRDefault="00BD56F9" w:rsidP="00BD56F9">
      <w:pPr>
        <w:spacing w:after="0"/>
        <w:ind w:left="2160" w:hanging="2160"/>
        <w:outlineLvl w:val="0"/>
        <w:rPr>
          <w:rFonts w:ascii="Times New Roman" w:hAnsi="Times New Roman"/>
          <w:sz w:val="20"/>
          <w:szCs w:val="20"/>
        </w:rPr>
      </w:pPr>
    </w:p>
    <w:p w:rsidR="00ED4CE1" w:rsidRPr="00ED4CE1" w:rsidRDefault="004F7FCD" w:rsidP="00ED4CE1">
      <w:pPr>
        <w:spacing w:after="0"/>
        <w:ind w:left="2160" w:hanging="2160"/>
        <w:outlineLvl w:val="0"/>
        <w:rPr>
          <w:rFonts w:ascii="Times New Roman" w:eastAsiaTheme="minorHAnsi" w:hAnsi="Times New Roman"/>
          <w:color w:val="000000"/>
          <w:lang w:bidi="en-US"/>
        </w:rPr>
      </w:pPr>
      <w:r w:rsidRPr="00B77E4D">
        <w:rPr>
          <w:rFonts w:ascii="Times New Roman" w:hAnsi="Times New Roman"/>
          <w:b/>
        </w:rPr>
        <w:t xml:space="preserve">Course Learning Outcomes: </w:t>
      </w:r>
      <w:r w:rsidR="000749BC">
        <w:rPr>
          <w:rFonts w:ascii="Times New Roman" w:hAnsi="Times New Roman"/>
          <w:b/>
        </w:rPr>
        <w:tab/>
      </w:r>
      <w:r w:rsidR="00ED4CE1" w:rsidRPr="00ED4CE1">
        <w:rPr>
          <w:rFonts w:ascii="Times New Roman" w:eastAsiaTheme="minorHAnsi" w:hAnsi="Times New Roman"/>
          <w:color w:val="000000"/>
          <w:lang w:bidi="en-US"/>
        </w:rPr>
        <w:t>As a result of taking courses meeting this goal, students will:</w:t>
      </w:r>
    </w:p>
    <w:p w:rsidR="00ED4CE1" w:rsidRPr="00ED4CE1" w:rsidRDefault="00ED4CE1" w:rsidP="00D03823">
      <w:pPr>
        <w:spacing w:after="0"/>
        <w:ind w:left="2160" w:hanging="2160"/>
        <w:contextualSpacing/>
        <w:outlineLvl w:val="0"/>
        <w:rPr>
          <w:rFonts w:ascii="Times New Roman" w:eastAsiaTheme="minorHAnsi" w:hAnsi="Times New Roman"/>
          <w:color w:val="000000"/>
          <w:lang w:bidi="en-US"/>
        </w:rPr>
      </w:pPr>
    </w:p>
    <w:p w:rsidR="00D03823" w:rsidRDefault="00ED4CE1" w:rsidP="00D03823">
      <w:pPr>
        <w:numPr>
          <w:ilvl w:val="0"/>
          <w:numId w:val="12"/>
        </w:numPr>
        <w:spacing w:after="0"/>
        <w:ind w:left="2160"/>
        <w:contextualSpacing/>
        <w:outlineLvl w:val="0"/>
        <w:rPr>
          <w:rFonts w:ascii="Times New Roman" w:eastAsiaTheme="minorHAnsi" w:hAnsi="Times New Roman"/>
          <w:color w:val="000000"/>
          <w:lang w:bidi="en-US"/>
        </w:rPr>
      </w:pPr>
      <w:r w:rsidRPr="00D03823">
        <w:rPr>
          <w:rFonts w:ascii="Times New Roman" w:eastAsiaTheme="minorHAnsi" w:hAnsi="Times New Roman"/>
          <w:color w:val="000000"/>
          <w:lang w:bidi="en-US"/>
        </w:rPr>
        <w:t>Prepare and deliver speeches for a variety of audiences and settings.</w:t>
      </w:r>
    </w:p>
    <w:p w:rsidR="00ED4CE1" w:rsidRPr="00D03823" w:rsidRDefault="00ED4CE1" w:rsidP="00D03823">
      <w:pPr>
        <w:spacing w:after="0"/>
        <w:ind w:left="1440" w:firstLine="720"/>
        <w:contextualSpacing/>
        <w:outlineLvl w:val="0"/>
        <w:rPr>
          <w:rFonts w:ascii="Times New Roman" w:eastAsiaTheme="minorHAnsi" w:hAnsi="Times New Roman"/>
          <w:color w:val="000000"/>
          <w:lang w:bidi="en-US"/>
        </w:rPr>
      </w:pPr>
      <w:r w:rsidRPr="00D03823">
        <w:rPr>
          <w:rFonts w:ascii="Times New Roman" w:eastAsiaTheme="minorHAnsi" w:hAnsi="Times New Roman"/>
          <w:b/>
          <w:color w:val="000000"/>
          <w:lang w:bidi="en-US"/>
        </w:rPr>
        <w:t>Assessment</w:t>
      </w:r>
      <w:r w:rsidRPr="00D03823">
        <w:rPr>
          <w:rFonts w:ascii="Times New Roman" w:eastAsiaTheme="minorHAnsi" w:hAnsi="Times New Roman"/>
          <w:color w:val="000000"/>
          <w:lang w:bidi="en-US"/>
        </w:rPr>
        <w:t>:  Students will:</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proofErr w:type="gramStart"/>
      <w:r w:rsidRPr="00ED4CE1">
        <w:rPr>
          <w:rFonts w:ascii="Times New Roman" w:eastAsiaTheme="minorHAnsi" w:hAnsi="Times New Roman"/>
          <w:color w:val="000000"/>
          <w:lang w:bidi="en-US"/>
        </w:rPr>
        <w:t>analyze</w:t>
      </w:r>
      <w:proofErr w:type="gramEnd"/>
      <w:r w:rsidRPr="00ED4CE1">
        <w:rPr>
          <w:rFonts w:ascii="Times New Roman" w:eastAsiaTheme="minorHAnsi" w:hAnsi="Times New Roman"/>
          <w:color w:val="000000"/>
          <w:lang w:bidi="en-US"/>
        </w:rPr>
        <w:t xml:space="preserve"> the relevant characteristics of their intended audience.</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proofErr w:type="gramStart"/>
      <w:r w:rsidRPr="00ED4CE1">
        <w:rPr>
          <w:rFonts w:ascii="Times New Roman" w:eastAsiaTheme="minorHAnsi" w:hAnsi="Times New Roman"/>
          <w:color w:val="000000"/>
          <w:lang w:bidi="en-US"/>
        </w:rPr>
        <w:t>prepare</w:t>
      </w:r>
      <w:proofErr w:type="gramEnd"/>
      <w:r w:rsidRPr="00ED4CE1">
        <w:rPr>
          <w:rFonts w:ascii="Times New Roman" w:eastAsiaTheme="minorHAnsi" w:hAnsi="Times New Roman"/>
          <w:color w:val="000000"/>
          <w:lang w:bidi="en-US"/>
        </w:rPr>
        <w:t xml:space="preserve"> and deliver speeches of differing lengths, topics, and purposes for a variety of technical, professional, and general audiences.</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proofErr w:type="gramStart"/>
      <w:r w:rsidRPr="00ED4CE1">
        <w:rPr>
          <w:rFonts w:ascii="Times New Roman" w:eastAsiaTheme="minorHAnsi" w:hAnsi="Times New Roman"/>
          <w:color w:val="000000"/>
          <w:lang w:bidi="en-US"/>
        </w:rPr>
        <w:t>improve</w:t>
      </w:r>
      <w:proofErr w:type="gramEnd"/>
      <w:r w:rsidRPr="00ED4CE1">
        <w:rPr>
          <w:rFonts w:ascii="Times New Roman" w:eastAsiaTheme="minorHAnsi" w:hAnsi="Times New Roman"/>
          <w:color w:val="000000"/>
          <w:lang w:bidi="en-US"/>
        </w:rPr>
        <w:t xml:space="preserve"> their mastery of audience and setting analysis through class discussion and exercises, peer review, instructor feedback, practice and final speeches.</w:t>
      </w:r>
    </w:p>
    <w:p w:rsidR="00ED4CE1" w:rsidRPr="00ED4CE1" w:rsidRDefault="00ED4CE1" w:rsidP="00D03823">
      <w:pPr>
        <w:spacing w:after="0"/>
        <w:ind w:left="3240" w:hanging="2160"/>
        <w:contextualSpacing/>
        <w:outlineLvl w:val="0"/>
        <w:rPr>
          <w:rFonts w:ascii="Times New Roman" w:eastAsiaTheme="minorHAnsi" w:hAnsi="Times New Roman"/>
          <w:color w:val="000000"/>
          <w:lang w:bidi="en-US"/>
        </w:rPr>
      </w:pPr>
    </w:p>
    <w:p w:rsidR="00D03823" w:rsidRDefault="00ED4CE1" w:rsidP="00D03823">
      <w:pPr>
        <w:numPr>
          <w:ilvl w:val="0"/>
          <w:numId w:val="12"/>
        </w:numPr>
        <w:spacing w:after="0"/>
        <w:ind w:left="2160"/>
        <w:contextualSpacing/>
        <w:outlineLvl w:val="0"/>
        <w:rPr>
          <w:rFonts w:ascii="Times New Roman" w:eastAsiaTheme="minorHAnsi" w:hAnsi="Times New Roman"/>
          <w:color w:val="000000"/>
          <w:lang w:bidi="en-US"/>
        </w:rPr>
      </w:pPr>
      <w:r w:rsidRPr="00D03823">
        <w:rPr>
          <w:rFonts w:ascii="Times New Roman" w:eastAsiaTheme="minorHAnsi" w:hAnsi="Times New Roman"/>
          <w:color w:val="000000"/>
          <w:lang w:bidi="en-US"/>
        </w:rPr>
        <w:t>Demonstrate listening competencies including choice and use of topic, supporting materials, organizational pattern, language usage, presentational aids, and delivery.</w:t>
      </w:r>
    </w:p>
    <w:p w:rsidR="00ED4CE1" w:rsidRPr="00D03823" w:rsidRDefault="00ED4CE1" w:rsidP="00D03823">
      <w:pPr>
        <w:spacing w:after="0"/>
        <w:ind w:left="2160"/>
        <w:contextualSpacing/>
        <w:outlineLvl w:val="0"/>
        <w:rPr>
          <w:rFonts w:ascii="Times New Roman" w:eastAsiaTheme="minorHAnsi" w:hAnsi="Times New Roman"/>
          <w:color w:val="000000"/>
          <w:lang w:bidi="en-US"/>
        </w:rPr>
      </w:pPr>
      <w:r w:rsidRPr="00D03823">
        <w:rPr>
          <w:rFonts w:ascii="Times New Roman" w:eastAsiaTheme="minorHAnsi" w:hAnsi="Times New Roman"/>
          <w:b/>
          <w:color w:val="000000"/>
          <w:lang w:bidi="en-US"/>
        </w:rPr>
        <w:t>Assessment:</w:t>
      </w:r>
      <w:r w:rsidRPr="00D03823">
        <w:rPr>
          <w:rFonts w:ascii="Times New Roman" w:eastAsiaTheme="minorHAnsi" w:hAnsi="Times New Roman"/>
          <w:color w:val="000000"/>
          <w:lang w:bidi="en-US"/>
        </w:rPr>
        <w:t xml:space="preserve">  Students will:</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proofErr w:type="gramStart"/>
      <w:r w:rsidRPr="00ED4CE1">
        <w:rPr>
          <w:rFonts w:ascii="Times New Roman" w:eastAsiaTheme="minorHAnsi" w:hAnsi="Times New Roman"/>
          <w:color w:val="000000"/>
          <w:lang w:bidi="en-US"/>
        </w:rPr>
        <w:t>recognize</w:t>
      </w:r>
      <w:proofErr w:type="gramEnd"/>
      <w:r w:rsidRPr="00ED4CE1">
        <w:rPr>
          <w:rFonts w:ascii="Times New Roman" w:eastAsiaTheme="minorHAnsi" w:hAnsi="Times New Roman"/>
          <w:color w:val="000000"/>
          <w:lang w:bidi="en-US"/>
        </w:rPr>
        <w:t xml:space="preserve"> the different speech goals and organizational patterns used for informational, demonstration, and/or persuasion speeches.</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proofErr w:type="gramStart"/>
      <w:r w:rsidRPr="00ED4CE1">
        <w:rPr>
          <w:rFonts w:ascii="Times New Roman" w:eastAsiaTheme="minorHAnsi" w:hAnsi="Times New Roman"/>
          <w:color w:val="000000"/>
          <w:lang w:bidi="en-US"/>
        </w:rPr>
        <w:t>demonstrate</w:t>
      </w:r>
      <w:proofErr w:type="gramEnd"/>
      <w:r w:rsidRPr="00ED4CE1">
        <w:rPr>
          <w:rFonts w:ascii="Times New Roman" w:eastAsiaTheme="minorHAnsi" w:hAnsi="Times New Roman"/>
          <w:color w:val="000000"/>
          <w:lang w:bidi="en-US"/>
        </w:rPr>
        <w:t xml:space="preserve"> in individual and/or collaborative speeches their competency in selecting and using appropriate supporting materials and presentational aids for the intended type of speech and audience.</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r w:rsidRPr="00ED4CE1">
        <w:rPr>
          <w:rFonts w:ascii="Times New Roman" w:eastAsiaTheme="minorHAnsi" w:hAnsi="Times New Roman"/>
          <w:color w:val="000000"/>
          <w:lang w:bidi="en-US"/>
        </w:rPr>
        <w:t xml:space="preserve">demonstrate in individual and/or collaborative speeches their competency in using appropriate language for the intended type of speech and audience; </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r w:rsidRPr="00ED4CE1">
        <w:rPr>
          <w:rFonts w:ascii="Times New Roman" w:eastAsiaTheme="minorHAnsi" w:hAnsi="Times New Roman"/>
          <w:color w:val="000000"/>
          <w:lang w:bidi="en-US"/>
        </w:rPr>
        <w:t>incorporate effective delivery techniques, both vocal and nonverbal, for the intended speech and audience in individual and/or collaborative speeches;</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r w:rsidRPr="00ED4CE1">
        <w:rPr>
          <w:rFonts w:ascii="Times New Roman" w:eastAsiaTheme="minorHAnsi" w:hAnsi="Times New Roman"/>
          <w:color w:val="000000"/>
          <w:lang w:bidi="en-US"/>
        </w:rPr>
        <w:t>improve their mastery of choosing and using appropriate topics and organizational plans, supporting materials, language, presentation aids, and delivery techniques through class discussion and exercises, peer review, instructor feedback, practice and final speeches..</w:t>
      </w:r>
    </w:p>
    <w:p w:rsidR="00ED4CE1" w:rsidRPr="00ED4CE1" w:rsidRDefault="00ED4CE1" w:rsidP="00D03823">
      <w:pPr>
        <w:spacing w:after="0"/>
        <w:ind w:left="3240" w:hanging="2160"/>
        <w:contextualSpacing/>
        <w:outlineLvl w:val="0"/>
        <w:rPr>
          <w:rFonts w:ascii="Times New Roman" w:eastAsiaTheme="minorHAnsi" w:hAnsi="Times New Roman"/>
          <w:color w:val="000000"/>
          <w:lang w:bidi="en-US"/>
        </w:rPr>
      </w:pPr>
    </w:p>
    <w:p w:rsidR="00D03823" w:rsidRDefault="00ED4CE1" w:rsidP="00D03823">
      <w:pPr>
        <w:numPr>
          <w:ilvl w:val="0"/>
          <w:numId w:val="12"/>
        </w:numPr>
        <w:spacing w:after="0"/>
        <w:ind w:left="2160"/>
        <w:contextualSpacing/>
        <w:outlineLvl w:val="0"/>
        <w:rPr>
          <w:rFonts w:ascii="Times New Roman" w:eastAsiaTheme="minorHAnsi" w:hAnsi="Times New Roman"/>
          <w:color w:val="000000"/>
          <w:lang w:bidi="en-US"/>
        </w:rPr>
      </w:pPr>
      <w:r w:rsidRPr="00D03823">
        <w:rPr>
          <w:rFonts w:ascii="Times New Roman" w:eastAsiaTheme="minorHAnsi" w:hAnsi="Times New Roman"/>
          <w:color w:val="000000"/>
          <w:lang w:bidi="en-US"/>
        </w:rPr>
        <w:t>Demonstrate listening competencies by summarizing, analyzing, and paraphrasing ideas, perspectives, and emotional content</w:t>
      </w:r>
      <w:r w:rsidR="00D03823" w:rsidRPr="00D03823">
        <w:rPr>
          <w:rFonts w:ascii="Times New Roman" w:eastAsiaTheme="minorHAnsi" w:hAnsi="Times New Roman"/>
          <w:color w:val="000000"/>
          <w:lang w:bidi="en-US"/>
        </w:rPr>
        <w:t xml:space="preserve">. </w:t>
      </w:r>
    </w:p>
    <w:p w:rsidR="00ED4CE1" w:rsidRPr="00D03823" w:rsidRDefault="00ED4CE1" w:rsidP="00D03823">
      <w:pPr>
        <w:spacing w:after="0"/>
        <w:ind w:left="2160"/>
        <w:contextualSpacing/>
        <w:outlineLvl w:val="0"/>
        <w:rPr>
          <w:rFonts w:ascii="Times New Roman" w:eastAsiaTheme="minorHAnsi" w:hAnsi="Times New Roman"/>
          <w:color w:val="000000"/>
          <w:lang w:bidi="en-US"/>
        </w:rPr>
      </w:pPr>
      <w:r w:rsidRPr="00D03823">
        <w:rPr>
          <w:rFonts w:ascii="Times New Roman" w:eastAsiaTheme="minorHAnsi" w:hAnsi="Times New Roman"/>
          <w:b/>
          <w:color w:val="000000"/>
          <w:lang w:bidi="en-US"/>
        </w:rPr>
        <w:t>Assessment:</w:t>
      </w:r>
      <w:r w:rsidRPr="00D03823">
        <w:rPr>
          <w:rFonts w:ascii="Times New Roman" w:eastAsiaTheme="minorHAnsi" w:hAnsi="Times New Roman"/>
          <w:color w:val="000000"/>
          <w:lang w:bidi="en-US"/>
        </w:rPr>
        <w:t xml:space="preserve"> Students will:</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proofErr w:type="gramStart"/>
      <w:r w:rsidRPr="00ED4CE1">
        <w:rPr>
          <w:rFonts w:ascii="Times New Roman" w:eastAsiaTheme="minorHAnsi" w:hAnsi="Times New Roman"/>
          <w:color w:val="000000"/>
          <w:lang w:bidi="en-US"/>
        </w:rPr>
        <w:t>demonstrate</w:t>
      </w:r>
      <w:proofErr w:type="gramEnd"/>
      <w:r w:rsidRPr="00ED4CE1">
        <w:rPr>
          <w:rFonts w:ascii="Times New Roman" w:eastAsiaTheme="minorHAnsi" w:hAnsi="Times New Roman"/>
          <w:color w:val="000000"/>
          <w:lang w:bidi="en-US"/>
        </w:rPr>
        <w:t xml:space="preserve"> listening competencies through peer review exercises.</w:t>
      </w:r>
    </w:p>
    <w:p w:rsidR="00ED4CE1" w:rsidRPr="00ED4CE1" w:rsidRDefault="00ED4CE1" w:rsidP="00D03823">
      <w:pPr>
        <w:numPr>
          <w:ilvl w:val="1"/>
          <w:numId w:val="12"/>
        </w:numPr>
        <w:spacing w:after="0"/>
        <w:ind w:left="2520"/>
        <w:contextualSpacing/>
        <w:outlineLvl w:val="0"/>
        <w:rPr>
          <w:rFonts w:ascii="Times New Roman" w:eastAsiaTheme="minorHAnsi" w:hAnsi="Times New Roman"/>
          <w:color w:val="000000"/>
          <w:lang w:bidi="en-US"/>
        </w:rPr>
      </w:pPr>
      <w:proofErr w:type="gramStart"/>
      <w:r w:rsidRPr="00ED4CE1">
        <w:rPr>
          <w:rFonts w:ascii="Times New Roman" w:eastAsiaTheme="minorHAnsi" w:hAnsi="Times New Roman"/>
          <w:color w:val="000000"/>
          <w:lang w:bidi="en-US"/>
        </w:rPr>
        <w:t>improve</w:t>
      </w:r>
      <w:proofErr w:type="gramEnd"/>
      <w:r w:rsidRPr="00ED4CE1">
        <w:rPr>
          <w:rFonts w:ascii="Times New Roman" w:eastAsiaTheme="minorHAnsi" w:hAnsi="Times New Roman"/>
          <w:color w:val="000000"/>
          <w:lang w:bidi="en-US"/>
        </w:rPr>
        <w:t xml:space="preserve"> their mastery of listening skills through class discussions and exercises, instructor and student feedback, practice and final speeches.</w:t>
      </w:r>
    </w:p>
    <w:p w:rsidR="004F7FCD" w:rsidRPr="00B77E4D" w:rsidRDefault="004F7FCD" w:rsidP="00087A94">
      <w:pPr>
        <w:spacing w:after="0" w:line="240" w:lineRule="auto"/>
        <w:outlineLvl w:val="0"/>
        <w:rPr>
          <w:rFonts w:ascii="Times New Roman" w:hAnsi="Times New Roman"/>
        </w:rPr>
      </w:pPr>
    </w:p>
    <w:p w:rsidR="00087A94" w:rsidRDefault="004F7FCD" w:rsidP="00087A94">
      <w:pPr>
        <w:spacing w:after="0" w:line="240" w:lineRule="auto"/>
        <w:ind w:left="1440" w:hanging="1440"/>
        <w:outlineLvl w:val="0"/>
        <w:rPr>
          <w:rFonts w:ascii="Times New Roman" w:hAnsi="Times New Roman"/>
        </w:rPr>
      </w:pPr>
      <w:r w:rsidRPr="00B77E4D">
        <w:rPr>
          <w:rFonts w:ascii="Times New Roman" w:hAnsi="Times New Roman"/>
          <w:b/>
        </w:rPr>
        <w:t xml:space="preserve">Topics: </w:t>
      </w:r>
      <w:r w:rsidRPr="00B77E4D">
        <w:rPr>
          <w:rFonts w:ascii="Times New Roman" w:hAnsi="Times New Roman"/>
          <w:b/>
        </w:rPr>
        <w:tab/>
      </w:r>
      <w:r w:rsidR="00087A94">
        <w:rPr>
          <w:rFonts w:ascii="Times New Roman" w:hAnsi="Times New Roman"/>
        </w:rPr>
        <w:tab/>
      </w:r>
      <w:r w:rsidR="00087A94" w:rsidRPr="00087A94">
        <w:rPr>
          <w:rFonts w:ascii="Times New Roman" w:hAnsi="Times New Roman"/>
        </w:rPr>
        <w:t>written and oral technical communications</w:t>
      </w:r>
      <w:r w:rsidR="00087A94">
        <w:rPr>
          <w:rFonts w:ascii="Times New Roman" w:hAnsi="Times New Roman"/>
        </w:rPr>
        <w:t xml:space="preserve">, </w:t>
      </w:r>
      <w:r w:rsidR="00087A94" w:rsidRPr="00087A94">
        <w:rPr>
          <w:rFonts w:ascii="Times New Roman" w:hAnsi="Times New Roman"/>
        </w:rPr>
        <w:t xml:space="preserve">research and explanations of </w:t>
      </w:r>
    </w:p>
    <w:p w:rsidR="004F7FCD" w:rsidRPr="00087A94" w:rsidRDefault="00087A94" w:rsidP="00087A94">
      <w:pPr>
        <w:spacing w:after="0" w:line="240" w:lineRule="auto"/>
        <w:ind w:left="1440" w:hanging="1440"/>
        <w:outlineLvl w:val="0"/>
        <w:rPr>
          <w:rFonts w:ascii="Times New Roman" w:hAnsi="Times New Roman"/>
        </w:rPr>
      </w:pPr>
      <w:r>
        <w:rPr>
          <w:rFonts w:ascii="Times New Roman" w:hAnsi="Times New Roman"/>
          <w:b/>
        </w:rPr>
        <w:tab/>
      </w:r>
      <w:r>
        <w:rPr>
          <w:rFonts w:ascii="Times New Roman" w:hAnsi="Times New Roman"/>
          <w:b/>
        </w:rPr>
        <w:tab/>
      </w:r>
      <w:proofErr w:type="gramStart"/>
      <w:r w:rsidRPr="00087A94">
        <w:rPr>
          <w:rFonts w:ascii="Times New Roman" w:hAnsi="Times New Roman"/>
        </w:rPr>
        <w:t>scientific</w:t>
      </w:r>
      <w:proofErr w:type="gramEnd"/>
      <w:r w:rsidRPr="00087A94">
        <w:rPr>
          <w:rFonts w:ascii="Times New Roman" w:hAnsi="Times New Roman"/>
        </w:rPr>
        <w:t xml:space="preserve"> and engineering topics.</w:t>
      </w:r>
    </w:p>
    <w:p w:rsidR="004F7FCD" w:rsidRPr="00B77E4D" w:rsidRDefault="004F7FCD" w:rsidP="00087A94">
      <w:pPr>
        <w:spacing w:after="0" w:line="240" w:lineRule="auto"/>
        <w:outlineLvl w:val="0"/>
        <w:rPr>
          <w:rFonts w:ascii="Times New Roman" w:hAnsi="Times New Roman"/>
          <w:b/>
        </w:rPr>
      </w:pPr>
    </w:p>
    <w:p w:rsidR="004F7FCD" w:rsidRPr="00B77E4D" w:rsidRDefault="004F7FCD" w:rsidP="00087A94">
      <w:pPr>
        <w:spacing w:after="0" w:line="240" w:lineRule="auto"/>
        <w:outlineLvl w:val="0"/>
        <w:rPr>
          <w:rFonts w:ascii="Times New Roman" w:hAnsi="Times New Roman"/>
        </w:rPr>
      </w:pPr>
      <w:r w:rsidRPr="00B77E4D">
        <w:rPr>
          <w:rFonts w:ascii="Times New Roman" w:hAnsi="Times New Roman"/>
          <w:b/>
        </w:rPr>
        <w:t xml:space="preserve">Class/Laboratory Schedule: </w:t>
      </w:r>
      <w:r w:rsidRPr="00B77E4D">
        <w:rPr>
          <w:rFonts w:ascii="Times New Roman" w:hAnsi="Times New Roman"/>
          <w:b/>
        </w:rPr>
        <w:tab/>
      </w:r>
      <w:r w:rsidRPr="00B77E4D">
        <w:rPr>
          <w:rFonts w:ascii="Times New Roman" w:hAnsi="Times New Roman"/>
        </w:rPr>
        <w:t>Varies</w:t>
      </w:r>
    </w:p>
    <w:p w:rsidR="00087A94" w:rsidRDefault="00087A94" w:rsidP="00087A94">
      <w:pPr>
        <w:spacing w:line="240" w:lineRule="auto"/>
        <w:outlineLvl w:val="0"/>
        <w:rPr>
          <w:rFonts w:ascii="Times New Roman" w:hAnsi="Times New Roman"/>
          <w:b/>
        </w:rPr>
      </w:pPr>
    </w:p>
    <w:p w:rsidR="00087A94" w:rsidRPr="002A0C25" w:rsidRDefault="00087A94" w:rsidP="00087A94">
      <w:pPr>
        <w:spacing w:line="240" w:lineRule="auto"/>
        <w:outlineLvl w:val="0"/>
        <w:rPr>
          <w:rFonts w:ascii="Times New Roman" w:hAnsi="Times New Roman"/>
          <w:b/>
        </w:rPr>
      </w:pPr>
      <w:r w:rsidRPr="002A0C25">
        <w:rPr>
          <w:rFonts w:ascii="Times New Roman" w:hAnsi="Times New Roman"/>
          <w:b/>
        </w:rPr>
        <w:t>Contribution to Criterion 5:</w:t>
      </w:r>
      <w:r w:rsidRPr="002A0C25">
        <w:rPr>
          <w:rFonts w:ascii="Times New Roman" w:hAnsi="Times New Roman"/>
          <w:b/>
        </w:rPr>
        <w:tab/>
      </w:r>
      <w:r w:rsidRPr="002A0C25">
        <w:rPr>
          <w:rFonts w:ascii="Times New Roman" w:hAnsi="Times New Roman"/>
        </w:rPr>
        <w:t>General Education, 3 credits</w:t>
      </w:r>
      <w:r w:rsidRPr="002A0C25">
        <w:rPr>
          <w:rFonts w:ascii="Times New Roman" w:hAnsi="Times New Roman"/>
          <w:b/>
        </w:rPr>
        <w:tab/>
      </w:r>
    </w:p>
    <w:p w:rsidR="00087A94" w:rsidRPr="002A0C25" w:rsidRDefault="00087A94" w:rsidP="00087A94">
      <w:pPr>
        <w:spacing w:line="240" w:lineRule="auto"/>
        <w:outlineLvl w:val="0"/>
        <w:rPr>
          <w:rFonts w:ascii="Times New Roman" w:hAnsi="Times New Roman"/>
          <w:b/>
        </w:rPr>
      </w:pPr>
      <w:r w:rsidRPr="002A0C25">
        <w:rPr>
          <w:rFonts w:ascii="Times New Roman" w:hAnsi="Times New Roman"/>
          <w:b/>
        </w:rPr>
        <w:t>Relationship of Course to ABET Outcomes (a) through (k)</w:t>
      </w:r>
    </w:p>
    <w:tbl>
      <w:tblPr>
        <w:tblStyle w:val="TableGrid"/>
        <w:tblW w:w="9435" w:type="dxa"/>
        <w:tblInd w:w="108" w:type="dxa"/>
        <w:tblLayout w:type="fixed"/>
        <w:tblLook w:val="04A0"/>
      </w:tblPr>
      <w:tblGrid>
        <w:gridCol w:w="5996"/>
        <w:gridCol w:w="1146"/>
        <w:gridCol w:w="1323"/>
        <w:gridCol w:w="970"/>
      </w:tblGrid>
      <w:tr w:rsidR="00087A94" w:rsidRPr="002A0C25" w:rsidTr="00034120">
        <w:trPr>
          <w:trHeight w:val="259"/>
        </w:trPr>
        <w:tc>
          <w:tcPr>
            <w:tcW w:w="5996" w:type="dxa"/>
            <w:tcBorders>
              <w:top w:val="nil"/>
              <w:left w:val="nil"/>
              <w:bottom w:val="nil"/>
            </w:tcBorders>
          </w:tcPr>
          <w:p w:rsidR="00087A94" w:rsidRPr="002A0C25" w:rsidRDefault="00087A94" w:rsidP="00034120">
            <w:pPr>
              <w:tabs>
                <w:tab w:val="left" w:pos="360"/>
              </w:tabs>
              <w:rPr>
                <w:rFonts w:ascii="Times New Roman" w:hAnsi="Times New Roman"/>
              </w:rPr>
            </w:pPr>
          </w:p>
        </w:tc>
        <w:tc>
          <w:tcPr>
            <w:tcW w:w="3439" w:type="dxa"/>
            <w:gridSpan w:val="3"/>
            <w:shd w:val="clear" w:color="auto" w:fill="auto"/>
          </w:tcPr>
          <w:p w:rsidR="00087A94" w:rsidRPr="002A0C25" w:rsidRDefault="00087A94" w:rsidP="00034120">
            <w:pPr>
              <w:tabs>
                <w:tab w:val="left" w:pos="360"/>
              </w:tabs>
              <w:jc w:val="center"/>
              <w:rPr>
                <w:rFonts w:ascii="Times New Roman" w:hAnsi="Times New Roman"/>
                <w:b/>
              </w:rPr>
            </w:pPr>
            <w:r w:rsidRPr="002A0C25">
              <w:rPr>
                <w:rFonts w:ascii="Times New Roman" w:hAnsi="Times New Roman"/>
                <w:b/>
              </w:rPr>
              <w:t>Level of Emphasis</w:t>
            </w:r>
          </w:p>
        </w:tc>
      </w:tr>
      <w:tr w:rsidR="00087A94" w:rsidRPr="002A0C25" w:rsidTr="00034120">
        <w:trPr>
          <w:trHeight w:val="259"/>
        </w:trPr>
        <w:tc>
          <w:tcPr>
            <w:tcW w:w="5996" w:type="dxa"/>
            <w:tcBorders>
              <w:top w:val="nil"/>
              <w:left w:val="nil"/>
            </w:tcBorders>
          </w:tcPr>
          <w:p w:rsidR="00087A94" w:rsidRPr="002A0C25" w:rsidRDefault="00087A94" w:rsidP="00034120">
            <w:pPr>
              <w:tabs>
                <w:tab w:val="left" w:pos="360"/>
              </w:tabs>
              <w:jc w:val="center"/>
              <w:rPr>
                <w:rFonts w:ascii="Times New Roman" w:hAnsi="Times New Roman"/>
              </w:rPr>
            </w:pPr>
          </w:p>
        </w:tc>
        <w:tc>
          <w:tcPr>
            <w:tcW w:w="1146" w:type="dxa"/>
            <w:shd w:val="clear" w:color="auto" w:fill="F2F2F2" w:themeFill="background1" w:themeFillShade="F2"/>
          </w:tcPr>
          <w:p w:rsidR="00087A94" w:rsidRPr="002A0C25" w:rsidRDefault="00087A94" w:rsidP="00034120">
            <w:pPr>
              <w:tabs>
                <w:tab w:val="left" w:pos="360"/>
              </w:tabs>
              <w:jc w:val="center"/>
              <w:rPr>
                <w:rFonts w:ascii="Times New Roman" w:hAnsi="Times New Roman"/>
              </w:rPr>
            </w:pPr>
            <w:r w:rsidRPr="002A0C25">
              <w:rPr>
                <w:rFonts w:ascii="Times New Roman" w:hAnsi="Times New Roman"/>
              </w:rPr>
              <w:t>Low</w:t>
            </w:r>
          </w:p>
        </w:tc>
        <w:tc>
          <w:tcPr>
            <w:tcW w:w="1323" w:type="dxa"/>
            <w:shd w:val="clear" w:color="auto" w:fill="D9D9D9" w:themeFill="background1" w:themeFillShade="D9"/>
          </w:tcPr>
          <w:p w:rsidR="00087A94" w:rsidRPr="002A0C25" w:rsidRDefault="00087A94" w:rsidP="00034120">
            <w:pPr>
              <w:tabs>
                <w:tab w:val="left" w:pos="360"/>
              </w:tabs>
              <w:jc w:val="center"/>
              <w:rPr>
                <w:rFonts w:ascii="Times New Roman" w:hAnsi="Times New Roman"/>
              </w:rPr>
            </w:pPr>
            <w:r w:rsidRPr="002A0C25">
              <w:rPr>
                <w:rFonts w:ascii="Times New Roman" w:hAnsi="Times New Roman"/>
              </w:rPr>
              <w:t>Medium</w:t>
            </w:r>
          </w:p>
        </w:tc>
        <w:tc>
          <w:tcPr>
            <w:tcW w:w="970" w:type="dxa"/>
            <w:shd w:val="pct12" w:color="auto" w:fill="auto"/>
          </w:tcPr>
          <w:p w:rsidR="00087A94" w:rsidRPr="002A0C25" w:rsidRDefault="00087A94" w:rsidP="00034120">
            <w:pPr>
              <w:tabs>
                <w:tab w:val="left" w:pos="360"/>
              </w:tabs>
              <w:jc w:val="center"/>
              <w:rPr>
                <w:rFonts w:ascii="Times New Roman" w:hAnsi="Times New Roman"/>
              </w:rPr>
            </w:pPr>
            <w:r w:rsidRPr="002A0C25">
              <w:rPr>
                <w:rFonts w:ascii="Times New Roman" w:hAnsi="Times New Roman"/>
              </w:rPr>
              <w:t>High</w:t>
            </w:r>
          </w:p>
        </w:tc>
      </w:tr>
      <w:tr w:rsidR="00087A94" w:rsidRPr="002A0C25" w:rsidTr="00034120">
        <w:trPr>
          <w:trHeight w:val="259"/>
        </w:trPr>
        <w:tc>
          <w:tcPr>
            <w:tcW w:w="5996" w:type="dxa"/>
          </w:tcPr>
          <w:p w:rsidR="00087A94" w:rsidRPr="002A0C25" w:rsidRDefault="00087A94" w:rsidP="00034120">
            <w:pPr>
              <w:tabs>
                <w:tab w:val="left" w:pos="360"/>
              </w:tabs>
              <w:jc w:val="center"/>
              <w:rPr>
                <w:rFonts w:ascii="Times New Roman" w:hAnsi="Times New Roman"/>
                <w:b/>
              </w:rPr>
            </w:pPr>
            <w:r w:rsidRPr="002A0C25">
              <w:rPr>
                <w:rFonts w:ascii="Times New Roman" w:hAnsi="Times New Roman"/>
                <w:b/>
              </w:rPr>
              <w:t>ABET Outcome</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518"/>
        </w:trPr>
        <w:tc>
          <w:tcPr>
            <w:tcW w:w="5996" w:type="dxa"/>
          </w:tcPr>
          <w:p w:rsidR="00087A94" w:rsidRPr="002A0C25" w:rsidRDefault="00087A94" w:rsidP="00034120">
            <w:pPr>
              <w:tabs>
                <w:tab w:val="left" w:pos="360"/>
              </w:tabs>
              <w:rPr>
                <w:rFonts w:ascii="Times New Roman" w:hAnsi="Times New Roman"/>
              </w:rPr>
            </w:pPr>
            <w:r w:rsidRPr="002A0C25">
              <w:rPr>
                <w:rFonts w:ascii="Times New Roman" w:eastAsiaTheme="minorHAnsi" w:hAnsi="Times New Roman"/>
              </w:rPr>
              <w:t>(a) an ability to apply knowledge of mathematics, science, and engineering</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518"/>
        </w:trPr>
        <w:tc>
          <w:tcPr>
            <w:tcW w:w="5996" w:type="dxa"/>
          </w:tcPr>
          <w:p w:rsidR="00087A94" w:rsidRPr="002A0C25" w:rsidRDefault="00087A94" w:rsidP="00034120">
            <w:pPr>
              <w:tabs>
                <w:tab w:val="left" w:pos="360"/>
              </w:tabs>
              <w:rPr>
                <w:rFonts w:ascii="Times New Roman" w:hAnsi="Times New Roman"/>
              </w:rPr>
            </w:pPr>
            <w:r w:rsidRPr="002A0C25">
              <w:rPr>
                <w:rFonts w:ascii="Times New Roman" w:eastAsiaTheme="minorHAnsi" w:hAnsi="Times New Roman"/>
              </w:rPr>
              <w:t>(b) an ability to design and conduct experiments, as well as to analyze and interpret data</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1020"/>
        </w:trPr>
        <w:tc>
          <w:tcPr>
            <w:tcW w:w="5996" w:type="dxa"/>
          </w:tcPr>
          <w:p w:rsidR="00087A94" w:rsidRPr="002A0C25" w:rsidRDefault="00087A94" w:rsidP="00034120">
            <w:pPr>
              <w:autoSpaceDE w:val="0"/>
              <w:autoSpaceDN w:val="0"/>
              <w:adjustRightInd w:val="0"/>
              <w:rPr>
                <w:rFonts w:ascii="Times New Roman" w:hAnsi="Times New Roman"/>
              </w:rPr>
            </w:pPr>
            <w:r w:rsidRPr="002A0C25">
              <w:rPr>
                <w:rFonts w:ascii="Times New Roman" w:eastAsiaTheme="minorHAnsi" w:hAnsi="Times New Roman"/>
              </w:rPr>
              <w:t>(c) an ability to design a system, component, or process to meet desired needs within realistic constraints such as economic, environmental, social, political, ethical, health and safety, manufacturability, and sustainability</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259"/>
        </w:trPr>
        <w:tc>
          <w:tcPr>
            <w:tcW w:w="5996" w:type="dxa"/>
          </w:tcPr>
          <w:p w:rsidR="00087A94" w:rsidRPr="002A0C25" w:rsidRDefault="00087A94" w:rsidP="00034120">
            <w:pPr>
              <w:tabs>
                <w:tab w:val="left" w:pos="360"/>
              </w:tabs>
              <w:rPr>
                <w:rFonts w:ascii="Times New Roman" w:hAnsi="Times New Roman"/>
              </w:rPr>
            </w:pPr>
            <w:r w:rsidRPr="002A0C25">
              <w:rPr>
                <w:rFonts w:ascii="Times New Roman" w:eastAsiaTheme="minorHAnsi" w:hAnsi="Times New Roman"/>
              </w:rPr>
              <w:t>(d) an ability to function on multidisciplinary teams</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518"/>
        </w:trPr>
        <w:tc>
          <w:tcPr>
            <w:tcW w:w="5996" w:type="dxa"/>
          </w:tcPr>
          <w:p w:rsidR="00087A94" w:rsidRPr="002A0C25" w:rsidRDefault="00087A94" w:rsidP="00034120">
            <w:pPr>
              <w:tabs>
                <w:tab w:val="left" w:pos="360"/>
              </w:tabs>
              <w:rPr>
                <w:rFonts w:ascii="Times New Roman" w:hAnsi="Times New Roman"/>
              </w:rPr>
            </w:pPr>
            <w:r w:rsidRPr="002A0C25">
              <w:rPr>
                <w:rFonts w:ascii="Times New Roman" w:eastAsiaTheme="minorHAnsi" w:hAnsi="Times New Roman"/>
              </w:rPr>
              <w:t>(e) an ability to identify, formulate, and solve engineering problems</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259"/>
        </w:trPr>
        <w:tc>
          <w:tcPr>
            <w:tcW w:w="5996" w:type="dxa"/>
          </w:tcPr>
          <w:p w:rsidR="00087A94" w:rsidRPr="002A0C25" w:rsidRDefault="00087A94" w:rsidP="00034120">
            <w:pPr>
              <w:autoSpaceDE w:val="0"/>
              <w:autoSpaceDN w:val="0"/>
              <w:adjustRightInd w:val="0"/>
              <w:rPr>
                <w:rFonts w:ascii="Times New Roman" w:eastAsiaTheme="minorHAnsi" w:hAnsi="Times New Roman"/>
              </w:rPr>
            </w:pPr>
            <w:r w:rsidRPr="002A0C25">
              <w:rPr>
                <w:rFonts w:ascii="Times New Roman" w:eastAsiaTheme="minorHAnsi" w:hAnsi="Times New Roman"/>
              </w:rPr>
              <w:t>(g) an ability to communicate effectively</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r w:rsidRPr="002A0C25">
              <w:rPr>
                <w:rFonts w:ascii="Times New Roman" w:hAnsi="Times New Roman"/>
              </w:rPr>
              <w:t>X</w:t>
            </w:r>
          </w:p>
        </w:tc>
      </w:tr>
      <w:tr w:rsidR="00087A94" w:rsidRPr="002A0C25" w:rsidTr="00034120">
        <w:trPr>
          <w:trHeight w:val="777"/>
        </w:trPr>
        <w:tc>
          <w:tcPr>
            <w:tcW w:w="5996" w:type="dxa"/>
          </w:tcPr>
          <w:p w:rsidR="00087A94" w:rsidRPr="002A0C25" w:rsidRDefault="00087A94" w:rsidP="00034120">
            <w:pPr>
              <w:tabs>
                <w:tab w:val="left" w:pos="360"/>
              </w:tabs>
              <w:rPr>
                <w:rFonts w:ascii="Times New Roman" w:hAnsi="Times New Roman"/>
              </w:rPr>
            </w:pPr>
            <w:r w:rsidRPr="002A0C25">
              <w:rPr>
                <w:rFonts w:ascii="Times New Roman" w:eastAsiaTheme="minorHAnsi" w:hAnsi="Times New Roman"/>
              </w:rPr>
              <w:t>(h) the broad education necessary to understand the impact of engineering solutions in a global, economic, environmental, and societal context</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502"/>
        </w:trPr>
        <w:tc>
          <w:tcPr>
            <w:tcW w:w="5996" w:type="dxa"/>
          </w:tcPr>
          <w:p w:rsidR="00087A94" w:rsidRPr="002A0C25" w:rsidRDefault="00087A94" w:rsidP="00034120">
            <w:pPr>
              <w:autoSpaceDE w:val="0"/>
              <w:autoSpaceDN w:val="0"/>
              <w:adjustRightInd w:val="0"/>
              <w:rPr>
                <w:rFonts w:ascii="Times New Roman" w:eastAsiaTheme="minorHAnsi" w:hAnsi="Times New Roman"/>
              </w:rPr>
            </w:pPr>
            <w:r w:rsidRPr="002A0C25">
              <w:rPr>
                <w:rFonts w:ascii="Times New Roman" w:eastAsiaTheme="minorHAnsi" w:hAnsi="Times New Roman"/>
              </w:rPr>
              <w:t>(</w:t>
            </w:r>
            <w:proofErr w:type="spellStart"/>
            <w:r w:rsidRPr="002A0C25">
              <w:rPr>
                <w:rFonts w:ascii="Times New Roman" w:eastAsiaTheme="minorHAnsi" w:hAnsi="Times New Roman"/>
              </w:rPr>
              <w:t>i</w:t>
            </w:r>
            <w:proofErr w:type="spellEnd"/>
            <w:r w:rsidRPr="002A0C25">
              <w:rPr>
                <w:rFonts w:ascii="Times New Roman" w:eastAsiaTheme="minorHAnsi" w:hAnsi="Times New Roman"/>
              </w:rPr>
              <w:t>) a recognition of the need for, and an ability to engage in life-long learning</w:t>
            </w:r>
          </w:p>
        </w:tc>
        <w:tc>
          <w:tcPr>
            <w:tcW w:w="1146" w:type="dxa"/>
          </w:tcPr>
          <w:p w:rsidR="00087A94" w:rsidRPr="002A0C25" w:rsidRDefault="00087A94" w:rsidP="00034120">
            <w:pPr>
              <w:tabs>
                <w:tab w:val="left" w:pos="360"/>
              </w:tabs>
              <w:jc w:val="center"/>
              <w:rPr>
                <w:rFonts w:ascii="Times New Roman" w:hAnsi="Times New Roman"/>
              </w:rPr>
            </w:pPr>
          </w:p>
        </w:tc>
        <w:tc>
          <w:tcPr>
            <w:tcW w:w="1323" w:type="dxa"/>
          </w:tcPr>
          <w:p w:rsidR="00087A94" w:rsidRPr="002A0C25" w:rsidRDefault="00087A94" w:rsidP="00034120">
            <w:pPr>
              <w:tabs>
                <w:tab w:val="left" w:pos="360"/>
              </w:tabs>
              <w:jc w:val="center"/>
              <w:rPr>
                <w:rFonts w:ascii="Times New Roman" w:hAnsi="Times New Roman"/>
              </w:rPr>
            </w:pPr>
          </w:p>
        </w:tc>
        <w:tc>
          <w:tcPr>
            <w:tcW w:w="970" w:type="dxa"/>
          </w:tcPr>
          <w:p w:rsidR="00087A94" w:rsidRPr="002A0C25" w:rsidRDefault="00087A94" w:rsidP="00034120">
            <w:pPr>
              <w:tabs>
                <w:tab w:val="left" w:pos="360"/>
              </w:tabs>
              <w:jc w:val="center"/>
              <w:rPr>
                <w:rFonts w:ascii="Times New Roman" w:hAnsi="Times New Roman"/>
              </w:rPr>
            </w:pPr>
          </w:p>
        </w:tc>
      </w:tr>
      <w:tr w:rsidR="00087A94" w:rsidRPr="002A0C25" w:rsidTr="00034120">
        <w:trPr>
          <w:trHeight w:val="259"/>
        </w:trPr>
        <w:tc>
          <w:tcPr>
            <w:tcW w:w="5996" w:type="dxa"/>
          </w:tcPr>
          <w:p w:rsidR="00087A94" w:rsidRPr="002A0C25" w:rsidRDefault="00087A94" w:rsidP="00034120">
            <w:pPr>
              <w:autoSpaceDE w:val="0"/>
              <w:autoSpaceDN w:val="0"/>
              <w:adjustRightInd w:val="0"/>
              <w:rPr>
                <w:rFonts w:ascii="Times New Roman" w:eastAsiaTheme="minorHAnsi" w:hAnsi="Times New Roman"/>
              </w:rPr>
            </w:pPr>
            <w:r w:rsidRPr="002A0C25">
              <w:rPr>
                <w:rFonts w:ascii="Times New Roman" w:eastAsiaTheme="minorHAnsi" w:hAnsi="Times New Roman"/>
              </w:rPr>
              <w:t>(j) a knowledge of contemporary issues</w:t>
            </w:r>
          </w:p>
        </w:tc>
        <w:tc>
          <w:tcPr>
            <w:tcW w:w="1146" w:type="dxa"/>
          </w:tcPr>
          <w:p w:rsidR="00087A94" w:rsidRPr="002A0C25" w:rsidRDefault="00087A94" w:rsidP="00034120">
            <w:pPr>
              <w:tabs>
                <w:tab w:val="left" w:pos="360"/>
              </w:tabs>
              <w:rPr>
                <w:rFonts w:ascii="Times New Roman" w:hAnsi="Times New Roman"/>
              </w:rPr>
            </w:pPr>
          </w:p>
        </w:tc>
        <w:tc>
          <w:tcPr>
            <w:tcW w:w="1323" w:type="dxa"/>
          </w:tcPr>
          <w:p w:rsidR="00087A94" w:rsidRPr="002A0C25" w:rsidRDefault="00087A94" w:rsidP="00034120">
            <w:pPr>
              <w:tabs>
                <w:tab w:val="left" w:pos="360"/>
              </w:tabs>
              <w:rPr>
                <w:rFonts w:ascii="Times New Roman" w:hAnsi="Times New Roman"/>
              </w:rPr>
            </w:pPr>
          </w:p>
        </w:tc>
        <w:tc>
          <w:tcPr>
            <w:tcW w:w="970" w:type="dxa"/>
          </w:tcPr>
          <w:p w:rsidR="00087A94" w:rsidRPr="002A0C25" w:rsidRDefault="00087A94" w:rsidP="00034120">
            <w:pPr>
              <w:tabs>
                <w:tab w:val="left" w:pos="360"/>
              </w:tabs>
              <w:rPr>
                <w:rFonts w:ascii="Times New Roman" w:hAnsi="Times New Roman"/>
              </w:rPr>
            </w:pPr>
          </w:p>
        </w:tc>
      </w:tr>
      <w:tr w:rsidR="00087A94" w:rsidRPr="002A0C25" w:rsidTr="00034120">
        <w:trPr>
          <w:trHeight w:val="518"/>
        </w:trPr>
        <w:tc>
          <w:tcPr>
            <w:tcW w:w="5996" w:type="dxa"/>
          </w:tcPr>
          <w:p w:rsidR="00087A94" w:rsidRPr="002A0C25" w:rsidRDefault="00087A94" w:rsidP="00034120">
            <w:pPr>
              <w:autoSpaceDE w:val="0"/>
              <w:autoSpaceDN w:val="0"/>
              <w:adjustRightInd w:val="0"/>
              <w:rPr>
                <w:rFonts w:ascii="Times New Roman" w:hAnsi="Times New Roman"/>
                <w:bCs/>
              </w:rPr>
            </w:pPr>
            <w:r w:rsidRPr="002A0C25">
              <w:rPr>
                <w:rFonts w:ascii="Times New Roman" w:eastAsiaTheme="minorHAnsi" w:hAnsi="Times New Roman"/>
              </w:rPr>
              <w:t xml:space="preserve">(k) </w:t>
            </w:r>
            <w:proofErr w:type="gramStart"/>
            <w:r w:rsidRPr="002A0C25">
              <w:rPr>
                <w:rFonts w:ascii="Times New Roman" w:eastAsiaTheme="minorHAnsi" w:hAnsi="Times New Roman"/>
              </w:rPr>
              <w:t>an</w:t>
            </w:r>
            <w:proofErr w:type="gramEnd"/>
            <w:r w:rsidRPr="002A0C25">
              <w:rPr>
                <w:rFonts w:ascii="Times New Roman" w:eastAsiaTheme="minorHAnsi" w:hAnsi="Times New Roman"/>
              </w:rPr>
              <w:t xml:space="preserve"> ability to use the techniques, skills, and modern engineering tools necessary for engineering practice.</w:t>
            </w:r>
          </w:p>
        </w:tc>
        <w:tc>
          <w:tcPr>
            <w:tcW w:w="1146" w:type="dxa"/>
          </w:tcPr>
          <w:p w:rsidR="00087A94" w:rsidRPr="002A0C25" w:rsidRDefault="00087A94" w:rsidP="00034120">
            <w:pPr>
              <w:tabs>
                <w:tab w:val="left" w:pos="360"/>
              </w:tabs>
              <w:rPr>
                <w:rFonts w:ascii="Times New Roman" w:hAnsi="Times New Roman"/>
              </w:rPr>
            </w:pPr>
          </w:p>
        </w:tc>
        <w:tc>
          <w:tcPr>
            <w:tcW w:w="1323" w:type="dxa"/>
          </w:tcPr>
          <w:p w:rsidR="00087A94" w:rsidRPr="002A0C25" w:rsidRDefault="00087A94" w:rsidP="00034120">
            <w:pPr>
              <w:tabs>
                <w:tab w:val="left" w:pos="360"/>
              </w:tabs>
              <w:rPr>
                <w:rFonts w:ascii="Times New Roman" w:hAnsi="Times New Roman"/>
              </w:rPr>
            </w:pPr>
          </w:p>
        </w:tc>
        <w:tc>
          <w:tcPr>
            <w:tcW w:w="970" w:type="dxa"/>
          </w:tcPr>
          <w:p w:rsidR="00087A94" w:rsidRPr="002A0C25" w:rsidRDefault="00087A94" w:rsidP="00034120">
            <w:pPr>
              <w:tabs>
                <w:tab w:val="left" w:pos="360"/>
              </w:tabs>
              <w:rPr>
                <w:rFonts w:ascii="Times New Roman" w:hAnsi="Times New Roman"/>
              </w:rPr>
            </w:pPr>
          </w:p>
        </w:tc>
      </w:tr>
    </w:tbl>
    <w:p w:rsidR="00087A94" w:rsidRPr="002A0C25" w:rsidRDefault="00087A94" w:rsidP="00087A94">
      <w:pPr>
        <w:tabs>
          <w:tab w:val="left" w:pos="360"/>
        </w:tabs>
        <w:ind w:left="360"/>
        <w:rPr>
          <w:rFonts w:ascii="Times New Roman" w:hAnsi="Times New Roman"/>
        </w:rPr>
      </w:pPr>
    </w:p>
    <w:p w:rsidR="00087A94" w:rsidRPr="002A0C25" w:rsidRDefault="00087A94" w:rsidP="00087A94">
      <w:r w:rsidRPr="002A0C25">
        <w:rPr>
          <w:rFonts w:ascii="Times New Roman" w:hAnsi="Times New Roman"/>
          <w:b/>
          <w:smallCaps/>
        </w:rPr>
        <w:t>Prepared By</w:t>
      </w:r>
      <w:r w:rsidRPr="002A0C25">
        <w:rPr>
          <w:rFonts w:ascii="Times New Roman" w:hAnsi="Times New Roman"/>
          <w:b/>
        </w:rPr>
        <w:t xml:space="preserve">:   </w:t>
      </w:r>
      <w:r w:rsidRPr="002A0C25">
        <w:rPr>
          <w:rFonts w:ascii="Times New Roman" w:hAnsi="Times New Roman"/>
        </w:rPr>
        <w:t>Dr. Sue Shirley, Department Chair; June 1, 2010</w:t>
      </w:r>
    </w:p>
    <w:p w:rsidR="004F7FCD" w:rsidRPr="00B77E4D" w:rsidRDefault="004F7FCD" w:rsidP="004F7FCD">
      <w:pPr>
        <w:spacing w:after="0"/>
        <w:outlineLvl w:val="0"/>
        <w:rPr>
          <w:rFonts w:ascii="Times New Roman" w:hAnsi="Times New Roman"/>
          <w:b/>
        </w:rPr>
      </w:pPr>
    </w:p>
    <w:sectPr w:rsidR="004F7FCD" w:rsidRPr="00B77E4D" w:rsidSect="008F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9BB"/>
    <w:multiLevelType w:val="hybridMultilevel"/>
    <w:tmpl w:val="B0FA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E6EE8"/>
    <w:multiLevelType w:val="hybridMultilevel"/>
    <w:tmpl w:val="1C16C92A"/>
    <w:lvl w:ilvl="0" w:tplc="D6A8631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14EE2"/>
    <w:multiLevelType w:val="hybridMultilevel"/>
    <w:tmpl w:val="EE20D1B8"/>
    <w:lvl w:ilvl="0" w:tplc="D6A86312">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D5604"/>
    <w:multiLevelType w:val="hybridMultilevel"/>
    <w:tmpl w:val="CD2EF8A2"/>
    <w:lvl w:ilvl="0" w:tplc="DA768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15F1441"/>
    <w:multiLevelType w:val="hybridMultilevel"/>
    <w:tmpl w:val="5DBA11FE"/>
    <w:lvl w:ilvl="0" w:tplc="DA768B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135D9"/>
    <w:multiLevelType w:val="hybridMultilevel"/>
    <w:tmpl w:val="AC8AB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2E1D6A"/>
    <w:multiLevelType w:val="hybridMultilevel"/>
    <w:tmpl w:val="0682E856"/>
    <w:lvl w:ilvl="0" w:tplc="F58EEFB0">
      <w:start w:val="1"/>
      <w:numFmt w:val="decimal"/>
      <w:lvlText w:val="%1."/>
      <w:lvlJc w:val="left"/>
      <w:pPr>
        <w:tabs>
          <w:tab w:val="num" w:pos="720"/>
        </w:tabs>
        <w:ind w:left="720" w:hanging="72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FEB0EE2"/>
    <w:multiLevelType w:val="hybridMultilevel"/>
    <w:tmpl w:val="01522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A3E6714"/>
    <w:multiLevelType w:val="hybridMultilevel"/>
    <w:tmpl w:val="4CDA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2B4DA8"/>
    <w:multiLevelType w:val="hybridMultilevel"/>
    <w:tmpl w:val="F2D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9"/>
  </w:num>
  <w:num w:numId="5">
    <w:abstractNumId w:val="10"/>
  </w:num>
  <w:num w:numId="6">
    <w:abstractNumId w:val="0"/>
  </w:num>
  <w:num w:numId="7">
    <w:abstractNumId w:val="1"/>
  </w:num>
  <w:num w:numId="8">
    <w:abstractNumId w:val="2"/>
  </w:num>
  <w:num w:numId="9">
    <w:abstractNumId w:val="3"/>
  </w:num>
  <w:num w:numId="10">
    <w:abstractNumId w:val="6"/>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7FCD"/>
    <w:rsid w:val="000749BC"/>
    <w:rsid w:val="000760C8"/>
    <w:rsid w:val="00087A94"/>
    <w:rsid w:val="001435F8"/>
    <w:rsid w:val="00171C1C"/>
    <w:rsid w:val="001E6D88"/>
    <w:rsid w:val="002D6636"/>
    <w:rsid w:val="004E505A"/>
    <w:rsid w:val="004F7FCD"/>
    <w:rsid w:val="005165CF"/>
    <w:rsid w:val="00531AB8"/>
    <w:rsid w:val="005B0182"/>
    <w:rsid w:val="005D3C21"/>
    <w:rsid w:val="005E2DF6"/>
    <w:rsid w:val="0069190B"/>
    <w:rsid w:val="007E70FD"/>
    <w:rsid w:val="008B162B"/>
    <w:rsid w:val="008F719D"/>
    <w:rsid w:val="009B1C1A"/>
    <w:rsid w:val="009E46C5"/>
    <w:rsid w:val="00AD18D1"/>
    <w:rsid w:val="00B071D2"/>
    <w:rsid w:val="00B77E4D"/>
    <w:rsid w:val="00BD56F9"/>
    <w:rsid w:val="00C876D6"/>
    <w:rsid w:val="00D03823"/>
    <w:rsid w:val="00DF013C"/>
    <w:rsid w:val="00DF1A66"/>
    <w:rsid w:val="00E43BA0"/>
    <w:rsid w:val="00ED4CE1"/>
    <w:rsid w:val="00EE493C"/>
    <w:rsid w:val="00F4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FCD"/>
    <w:pPr>
      <w:spacing w:after="0" w:line="240" w:lineRule="auto"/>
    </w:pPr>
  </w:style>
  <w:style w:type="table" w:styleId="TableGrid">
    <w:name w:val="Table Grid"/>
    <w:basedOn w:val="TableNormal"/>
    <w:uiPriority w:val="59"/>
    <w:rsid w:val="004F7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7FCD"/>
    <w:pPr>
      <w:ind w:left="720"/>
      <w:contextualSpacing/>
    </w:pPr>
  </w:style>
  <w:style w:type="paragraph" w:customStyle="1" w:styleId="Default">
    <w:name w:val="Default"/>
    <w:rsid w:val="00171C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749B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kjansak</dc:creator>
  <cp:keywords/>
  <dc:description/>
  <cp:lastModifiedBy>kjansak</cp:lastModifiedBy>
  <cp:revision>3</cp:revision>
  <dcterms:created xsi:type="dcterms:W3CDTF">2010-06-08T15:23:00Z</dcterms:created>
  <dcterms:modified xsi:type="dcterms:W3CDTF">2010-06-09T15:31:00Z</dcterms:modified>
</cp:coreProperties>
</file>